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0714C7" w:rsidRDefault="0080261E">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3053B4" w:rsidP="00C037F6">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C037F6">
                  <w:rPr>
                    <w:rFonts w:ascii="Arial" w:hAnsi="Arial" w:hint="cs"/>
                    <w:b/>
                    <w:bCs/>
                    <w:noProof w:val="0"/>
                    <w:sz w:val="26"/>
                    <w:szCs w:val="26"/>
                    <w:rtl/>
                  </w:rPr>
                  <w:t>י. א. י</w:t>
                </w:r>
                <w:r w:rsidR="0080261E">
                  <w:rPr>
                    <w:rFonts w:ascii="Arial" w:hAnsi="Arial"/>
                    <w:b/>
                    <w:bCs/>
                    <w:noProof w:val="0"/>
                    <w:sz w:val="26"/>
                    <w:szCs w:val="26"/>
                    <w:rtl/>
                  </w:rPr>
                  <w:br/>
                </w:r>
                <w:r w:rsidR="0080261E">
                  <w:rPr>
                    <w:rFonts w:ascii="Arial" w:hAnsi="Arial" w:hint="cs"/>
                    <w:b/>
                    <w:bCs/>
                    <w:noProof w:val="0"/>
                    <w:sz w:val="26"/>
                    <w:szCs w:val="26"/>
                    <w:rtl/>
                  </w:rPr>
                  <w:t>ע"י ב"כ עו"ד שי קדמי</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0F6110">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053B4" w:rsidP="00D44968">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80261E" w:rsidRPr="0080261E">
                  <w:rPr>
                    <w:rFonts w:ascii="Arial" w:hAnsi="Arial"/>
                    <w:b/>
                    <w:bCs/>
                    <w:noProof w:val="0"/>
                    <w:sz w:val="26"/>
                    <w:szCs w:val="26"/>
                    <w:rtl/>
                  </w:rPr>
                  <w:t>משיב</w:t>
                </w:r>
                <w:r w:rsidR="0080261E" w:rsidRPr="0080261E">
                  <w:rPr>
                    <w:rFonts w:ascii="Arial" w:hAnsi="Arial" w:hint="cs"/>
                    <w:b/>
                    <w:bCs/>
                    <w:noProof w:val="0"/>
                    <w:sz w:val="26"/>
                    <w:szCs w:val="26"/>
                    <w:rtl/>
                  </w:rPr>
                  <w:t>ה</w:t>
                </w:r>
                <w:r w:rsidR="0080261E" w:rsidRPr="0080261E">
                  <w:rPr>
                    <w:rFonts w:ascii="Arial" w:hAnsi="Arial"/>
                    <w:b/>
                    <w:bCs/>
                    <w:noProof w:val="0"/>
                    <w:sz w:val="26"/>
                    <w:szCs w:val="26"/>
                    <w:rtl/>
                  </w:rPr>
                  <w:br/>
                </w:r>
                <w:r w:rsidR="0080261E" w:rsidRPr="0080261E">
                  <w:rPr>
                    <w:b/>
                    <w:bCs/>
                    <w:sz w:val="26"/>
                    <w:szCs w:val="26"/>
                    <w:rtl/>
                  </w:rPr>
                  <w:br/>
                </w:r>
                <w:r w:rsidR="0080261E" w:rsidRPr="0080261E">
                  <w:rPr>
                    <w:b/>
                    <w:bCs/>
                    <w:sz w:val="26"/>
                    <w:szCs w:val="26"/>
                    <w:rtl/>
                  </w:rPr>
                  <w:br/>
                </w:r>
                <w:r w:rsidR="0080261E" w:rsidRPr="0080261E">
                  <w:rPr>
                    <w:rFonts w:hint="cs"/>
                    <w:b/>
                    <w:bCs/>
                    <w:sz w:val="26"/>
                    <w:szCs w:val="26"/>
                    <w:rtl/>
                  </w:rPr>
                  <w:t>בעניין הקטינה</w:t>
                </w:r>
              </w:sdtContent>
            </w:sdt>
          </w:p>
        </w:tc>
        <w:tc>
          <w:tcPr>
            <w:tcW w:w="5571" w:type="dxa"/>
          </w:tcPr>
          <w:p w:rsidR="00CF6BB7" w:rsidRPr="00CD516B" w:rsidRDefault="003053B4" w:rsidP="00C037F6">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C037F6">
                  <w:rPr>
                    <w:rFonts w:ascii="Arial" w:hAnsi="Arial" w:hint="cs"/>
                    <w:b/>
                    <w:bCs/>
                    <w:noProof w:val="0"/>
                    <w:sz w:val="26"/>
                    <w:szCs w:val="26"/>
                    <w:rtl/>
                  </w:rPr>
                  <w:t>פ. פ. י</w:t>
                </w:r>
                <w:r w:rsidR="0080261E">
                  <w:rPr>
                    <w:rFonts w:ascii="Arial" w:hAnsi="Arial"/>
                    <w:b/>
                    <w:bCs/>
                    <w:noProof w:val="0"/>
                    <w:sz w:val="26"/>
                    <w:szCs w:val="26"/>
                    <w:rtl/>
                  </w:rPr>
                  <w:br/>
                </w:r>
                <w:r w:rsidR="0080261E">
                  <w:rPr>
                    <w:rFonts w:ascii="Arial" w:hAnsi="Arial"/>
                    <w:b/>
                    <w:bCs/>
                    <w:noProof w:val="0"/>
                    <w:sz w:val="26"/>
                    <w:szCs w:val="26"/>
                    <w:rtl/>
                  </w:rPr>
                  <w:br/>
                </w:r>
                <w:r w:rsidR="0080261E">
                  <w:rPr>
                    <w:rFonts w:ascii="Arial" w:hAnsi="Arial"/>
                    <w:b/>
                    <w:bCs/>
                    <w:noProof w:val="0"/>
                    <w:sz w:val="26"/>
                    <w:szCs w:val="26"/>
                    <w:rtl/>
                  </w:rPr>
                  <w:br/>
                </w:r>
                <w:r w:rsidR="00C037F6">
                  <w:rPr>
                    <w:rFonts w:ascii="Arial" w:hAnsi="Arial" w:hint="cs"/>
                    <w:b/>
                    <w:bCs/>
                    <w:noProof w:val="0"/>
                    <w:sz w:val="26"/>
                    <w:szCs w:val="26"/>
                    <w:rtl/>
                  </w:rPr>
                  <w:t xml:space="preserve">מ. י, </w:t>
                </w:r>
                <w:r w:rsidR="0080261E">
                  <w:rPr>
                    <w:rFonts w:ascii="Arial" w:hAnsi="Arial" w:hint="cs"/>
                    <w:b/>
                    <w:bCs/>
                    <w:noProof w:val="0"/>
                    <w:sz w:val="26"/>
                    <w:szCs w:val="26"/>
                    <w:rtl/>
                  </w:rPr>
                  <w:t>ילידת 2020</w:t>
                </w:r>
              </w:sdtContent>
            </w:sdt>
          </w:p>
        </w:tc>
      </w:tr>
    </w:tbl>
    <w:p w:rsidR="0094424E" w:rsidRDefault="0094424E" w:rsidP="00D44968">
      <w:pPr>
        <w:suppressLineNumbers/>
        <w:rPr>
          <w:rtl/>
        </w:rPr>
      </w:pPr>
    </w:p>
    <w:p w:rsidR="0080261E" w:rsidRDefault="0080261E" w:rsidP="00D44968">
      <w:pPr>
        <w:suppressLineNumbers/>
        <w:rPr>
          <w:rtl/>
        </w:rPr>
      </w:pPr>
    </w:p>
    <w:p w:rsidR="0080261E" w:rsidRDefault="0080261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A5246" w:rsidRPr="00D44968" w:rsidRDefault="00DA5246" w:rsidP="00DA5246">
            <w:pPr>
              <w:bidi w:val="0"/>
              <w:jc w:val="center"/>
              <w:rPr>
                <w:rFonts w:ascii="Arial" w:hAnsi="Arial"/>
                <w:b/>
                <w:bCs/>
                <w:noProof w:val="0"/>
                <w:sz w:val="28"/>
                <w:szCs w:val="28"/>
                <w:u w:val="single"/>
              </w:rPr>
            </w:pPr>
          </w:p>
        </w:tc>
      </w:tr>
    </w:tbl>
    <w:p w:rsidR="00AD069A" w:rsidRDefault="0080261E" w:rsidP="00AD069A">
      <w:pPr>
        <w:spacing w:after="120" w:line="360" w:lineRule="auto"/>
        <w:ind w:left="708" w:hanging="709"/>
        <w:jc w:val="both"/>
        <w:rPr>
          <w:rFonts w:ascii="David" w:hAnsi="David"/>
          <w:color w:val="000000"/>
          <w:rtl/>
        </w:rPr>
      </w:pPr>
      <w:bookmarkStart w:id="1" w:name="NGCSBookmark"/>
      <w:bookmarkEnd w:id="1"/>
      <w:r>
        <w:rPr>
          <w:rFonts w:ascii="Arial" w:hAnsi="Arial" w:hint="cs"/>
          <w:noProof w:val="0"/>
          <w:rtl/>
        </w:rPr>
        <w:t>1.</w:t>
      </w:r>
      <w:r>
        <w:rPr>
          <w:rFonts w:ascii="Arial" w:hAnsi="Arial" w:hint="cs"/>
          <w:noProof w:val="0"/>
          <w:rtl/>
        </w:rPr>
        <w:tab/>
      </w:r>
      <w:bookmarkStart w:id="2" w:name="ABSTRACT_START"/>
      <w:bookmarkEnd w:id="2"/>
      <w:r w:rsidR="00AD069A">
        <w:rPr>
          <w:rFonts w:ascii="David" w:hAnsi="David" w:hint="cs"/>
          <w:color w:val="000000"/>
          <w:rtl/>
        </w:rPr>
        <w:t>לפניי</w:t>
      </w:r>
      <w:r w:rsidR="00AD069A">
        <w:rPr>
          <w:rFonts w:ascii="David" w:hAnsi="David"/>
          <w:color w:val="000000"/>
          <w:rtl/>
        </w:rPr>
        <w:t xml:space="preserve"> בקשת רשות ערעור על </w:t>
      </w:r>
      <w:r w:rsidR="00AD069A">
        <w:rPr>
          <w:rFonts w:ascii="David" w:hAnsi="David" w:hint="cs"/>
          <w:color w:val="000000"/>
          <w:rtl/>
        </w:rPr>
        <w:t>החלטת</w:t>
      </w:r>
      <w:r w:rsidR="00AD069A">
        <w:rPr>
          <w:rFonts w:ascii="David" w:hAnsi="David"/>
          <w:color w:val="000000"/>
          <w:rtl/>
        </w:rPr>
        <w:t xml:space="preserve"> בית משפט לענייני משפחה בח</w:t>
      </w:r>
      <w:r w:rsidR="00AD069A">
        <w:rPr>
          <w:rFonts w:ascii="David" w:hAnsi="David" w:hint="cs"/>
          <w:color w:val="000000"/>
          <w:rtl/>
        </w:rPr>
        <w:t>דר</w:t>
      </w:r>
      <w:r w:rsidR="00AD069A">
        <w:rPr>
          <w:rFonts w:ascii="David" w:hAnsi="David"/>
          <w:color w:val="000000"/>
          <w:rtl/>
        </w:rPr>
        <w:t xml:space="preserve">ה (כב' השופט </w:t>
      </w:r>
      <w:r w:rsidR="00AD069A">
        <w:rPr>
          <w:rFonts w:ascii="David" w:hAnsi="David" w:hint="cs"/>
          <w:color w:val="000000"/>
          <w:rtl/>
        </w:rPr>
        <w:t>ירון אלטרזון</w:t>
      </w:r>
      <w:r w:rsidR="00AD069A">
        <w:rPr>
          <w:rFonts w:ascii="David" w:hAnsi="David"/>
          <w:color w:val="000000"/>
          <w:rtl/>
        </w:rPr>
        <w:t>) שניתנ</w:t>
      </w:r>
      <w:r w:rsidR="00AD069A">
        <w:rPr>
          <w:rFonts w:ascii="David" w:hAnsi="David" w:hint="cs"/>
          <w:color w:val="000000"/>
          <w:rtl/>
        </w:rPr>
        <w:t xml:space="preserve">ה </w:t>
      </w:r>
      <w:r w:rsidR="00AD069A">
        <w:rPr>
          <w:rFonts w:ascii="David" w:hAnsi="David"/>
          <w:color w:val="000000"/>
          <w:rtl/>
        </w:rPr>
        <w:t xml:space="preserve">ביום </w:t>
      </w:r>
      <w:r w:rsidR="00AD069A">
        <w:rPr>
          <w:rFonts w:ascii="David" w:hAnsi="David" w:hint="cs"/>
          <w:color w:val="000000"/>
          <w:rtl/>
        </w:rPr>
        <w:t>20</w:t>
      </w:r>
      <w:r w:rsidR="00AD069A">
        <w:rPr>
          <w:rFonts w:ascii="David" w:hAnsi="David"/>
          <w:color w:val="000000"/>
          <w:rtl/>
        </w:rPr>
        <w:t>.</w:t>
      </w:r>
      <w:r w:rsidR="00AD069A">
        <w:rPr>
          <w:rFonts w:ascii="David" w:hAnsi="David" w:hint="cs"/>
          <w:color w:val="000000"/>
          <w:rtl/>
        </w:rPr>
        <w:t>10</w:t>
      </w:r>
      <w:r w:rsidR="00AD069A">
        <w:rPr>
          <w:rFonts w:ascii="David" w:hAnsi="David"/>
          <w:color w:val="000000"/>
          <w:rtl/>
        </w:rPr>
        <w:t>.</w:t>
      </w:r>
      <w:r w:rsidR="00AD069A">
        <w:rPr>
          <w:rFonts w:ascii="David" w:hAnsi="David" w:hint="cs"/>
          <w:color w:val="000000"/>
          <w:rtl/>
        </w:rPr>
        <w:t>2024</w:t>
      </w:r>
      <w:r w:rsidR="00AD069A">
        <w:rPr>
          <w:rFonts w:ascii="David" w:hAnsi="David"/>
          <w:color w:val="000000"/>
          <w:rtl/>
        </w:rPr>
        <w:t xml:space="preserve"> בתיק תלה"מ </w:t>
      </w:r>
      <w:r w:rsidR="00AD069A">
        <w:rPr>
          <w:rFonts w:ascii="David" w:hAnsi="David" w:hint="cs"/>
          <w:color w:val="000000"/>
          <w:rtl/>
        </w:rPr>
        <w:t>70148</w:t>
      </w:r>
      <w:r w:rsidR="00AD069A">
        <w:rPr>
          <w:rFonts w:ascii="David" w:hAnsi="David"/>
          <w:color w:val="000000"/>
          <w:rtl/>
        </w:rPr>
        <w:t>-</w:t>
      </w:r>
      <w:r w:rsidR="00AD069A">
        <w:rPr>
          <w:rFonts w:ascii="David" w:hAnsi="David" w:hint="cs"/>
          <w:color w:val="000000"/>
          <w:rtl/>
        </w:rPr>
        <w:t>09</w:t>
      </w:r>
      <w:r w:rsidR="00AD069A">
        <w:rPr>
          <w:rFonts w:ascii="David" w:hAnsi="David"/>
          <w:color w:val="000000"/>
          <w:rtl/>
        </w:rPr>
        <w:t>-</w:t>
      </w:r>
      <w:r w:rsidR="00AD069A">
        <w:rPr>
          <w:rFonts w:ascii="David" w:hAnsi="David" w:hint="cs"/>
          <w:color w:val="000000"/>
          <w:rtl/>
        </w:rPr>
        <w:t>24</w:t>
      </w:r>
      <w:r w:rsidR="00AD069A">
        <w:rPr>
          <w:rFonts w:ascii="David" w:hAnsi="David"/>
          <w:color w:val="000000"/>
          <w:rtl/>
        </w:rPr>
        <w:t xml:space="preserve"> (לה</w:t>
      </w:r>
      <w:r w:rsidR="00AD069A">
        <w:rPr>
          <w:rFonts w:ascii="David" w:hAnsi="David" w:hint="cs"/>
          <w:color w:val="000000"/>
          <w:rtl/>
        </w:rPr>
        <w:t>לן: "</w:t>
      </w:r>
      <w:r w:rsidR="00AD069A" w:rsidRPr="00AD069A">
        <w:rPr>
          <w:rFonts w:ascii="David" w:hAnsi="David" w:hint="cs"/>
          <w:b/>
          <w:bCs/>
          <w:color w:val="000000"/>
          <w:rtl/>
        </w:rPr>
        <w:t>ההחלטה קמא</w:t>
      </w:r>
      <w:r w:rsidR="00AD069A">
        <w:rPr>
          <w:rFonts w:ascii="David" w:hAnsi="David" w:hint="cs"/>
          <w:color w:val="000000"/>
          <w:rtl/>
        </w:rPr>
        <w:t>" ו-"</w:t>
      </w:r>
      <w:r w:rsidR="00AD069A" w:rsidRPr="00AD069A">
        <w:rPr>
          <w:rFonts w:ascii="David" w:hAnsi="David" w:hint="cs"/>
          <w:b/>
          <w:bCs/>
          <w:color w:val="000000"/>
          <w:rtl/>
        </w:rPr>
        <w:t>התיק קמא</w:t>
      </w:r>
      <w:r w:rsidR="00AD069A">
        <w:rPr>
          <w:rFonts w:ascii="David" w:hAnsi="David" w:hint="cs"/>
          <w:color w:val="000000"/>
          <w:rtl/>
        </w:rPr>
        <w:t xml:space="preserve">" </w:t>
      </w:r>
      <w:r w:rsidR="00AD069A">
        <w:rPr>
          <w:rFonts w:ascii="David" w:hAnsi="David"/>
          <w:color w:val="000000"/>
          <w:rtl/>
        </w:rPr>
        <w:t>בהתאמה), אשר במסגרת</w:t>
      </w:r>
      <w:r w:rsidR="00AD069A">
        <w:rPr>
          <w:rFonts w:ascii="David" w:hAnsi="David" w:hint="cs"/>
          <w:color w:val="000000"/>
          <w:rtl/>
        </w:rPr>
        <w:t>ה</w:t>
      </w:r>
      <w:r w:rsidR="00AD069A">
        <w:rPr>
          <w:rFonts w:ascii="David" w:hAnsi="David"/>
          <w:color w:val="000000"/>
          <w:rtl/>
        </w:rPr>
        <w:t xml:space="preserve"> נפסק</w:t>
      </w:r>
      <w:r w:rsidR="00AD069A">
        <w:rPr>
          <w:rFonts w:ascii="David" w:hAnsi="David" w:hint="cs"/>
          <w:color w:val="000000"/>
          <w:rtl/>
        </w:rPr>
        <w:t xml:space="preserve">ו </w:t>
      </w:r>
      <w:r w:rsidR="00AD069A">
        <w:rPr>
          <w:rFonts w:ascii="David" w:hAnsi="David"/>
          <w:color w:val="000000"/>
          <w:rtl/>
        </w:rPr>
        <w:t>זמני שהות הזמניים של הקטי</w:t>
      </w:r>
      <w:r w:rsidR="00AD069A">
        <w:rPr>
          <w:rFonts w:ascii="David" w:hAnsi="David" w:hint="cs"/>
          <w:color w:val="000000"/>
          <w:rtl/>
        </w:rPr>
        <w:t>נה</w:t>
      </w:r>
      <w:r w:rsidR="00AD069A">
        <w:rPr>
          <w:rFonts w:ascii="David" w:hAnsi="David"/>
          <w:color w:val="000000"/>
          <w:rtl/>
        </w:rPr>
        <w:t xml:space="preserve"> עם אבי</w:t>
      </w:r>
      <w:r w:rsidR="00AD069A">
        <w:rPr>
          <w:rFonts w:ascii="David" w:hAnsi="David" w:hint="cs"/>
          <w:color w:val="000000"/>
          <w:rtl/>
        </w:rPr>
        <w:t>ה.</w:t>
      </w:r>
    </w:p>
    <w:p w:rsidR="00694556" w:rsidRDefault="00AD069A" w:rsidP="00AD069A">
      <w:pPr>
        <w:spacing w:after="120" w:line="360" w:lineRule="auto"/>
        <w:ind w:left="708" w:hanging="709"/>
        <w:jc w:val="both"/>
        <w:rPr>
          <w:rFonts w:ascii="David" w:hAnsi="David"/>
          <w:color w:val="000000"/>
          <w:rtl/>
        </w:rPr>
      </w:pPr>
      <w:r>
        <w:rPr>
          <w:rFonts w:ascii="David" w:hAnsi="David"/>
          <w:color w:val="000000"/>
          <w:rtl/>
        </w:rPr>
        <w:t xml:space="preserve"> </w:t>
      </w:r>
    </w:p>
    <w:p w:rsidR="00AD069A" w:rsidRPr="00AD069A" w:rsidRDefault="00AD069A" w:rsidP="00AD069A">
      <w:pPr>
        <w:spacing w:after="120" w:line="360" w:lineRule="auto"/>
        <w:ind w:left="708" w:hanging="709"/>
        <w:jc w:val="both"/>
        <w:rPr>
          <w:rFonts w:ascii="David" w:hAnsi="David"/>
          <w:b/>
          <w:bCs/>
          <w:color w:val="000000"/>
          <w:u w:val="single"/>
          <w:rtl/>
        </w:rPr>
      </w:pPr>
      <w:r w:rsidRPr="00AD069A">
        <w:rPr>
          <w:rFonts w:ascii="David" w:hAnsi="David" w:hint="cs"/>
          <w:b/>
          <w:bCs/>
          <w:color w:val="000000"/>
          <w:u w:val="single"/>
          <w:rtl/>
        </w:rPr>
        <w:t>רקע וההחלטה קמא</w:t>
      </w:r>
    </w:p>
    <w:p w:rsidR="00AD069A" w:rsidRDefault="00AD069A" w:rsidP="00AD069A">
      <w:pPr>
        <w:spacing w:after="120" w:line="360" w:lineRule="auto"/>
        <w:ind w:left="708" w:hanging="709"/>
        <w:jc w:val="both"/>
        <w:rPr>
          <w:rFonts w:ascii="Arial" w:hAnsi="Arial"/>
          <w:noProof w:val="0"/>
          <w:rtl/>
        </w:rPr>
      </w:pPr>
      <w:r>
        <w:rPr>
          <w:rFonts w:ascii="David" w:hAnsi="David" w:hint="cs"/>
          <w:color w:val="000000"/>
          <w:rtl/>
        </w:rPr>
        <w:t>2.</w:t>
      </w:r>
      <w:r>
        <w:rPr>
          <w:rFonts w:ascii="David" w:hAnsi="David" w:hint="cs"/>
          <w:color w:val="000000"/>
          <w:rtl/>
        </w:rPr>
        <w:tab/>
      </w:r>
      <w:r>
        <w:rPr>
          <w:rFonts w:ascii="Arial" w:hAnsi="Arial" w:hint="cs"/>
          <w:noProof w:val="0"/>
          <w:rtl/>
        </w:rPr>
        <w:t>המבקש והמשיבה</w:t>
      </w:r>
      <w:r w:rsidR="00631F40">
        <w:rPr>
          <w:rFonts w:ascii="Arial" w:hAnsi="Arial" w:hint="cs"/>
          <w:noProof w:val="0"/>
          <w:rtl/>
        </w:rPr>
        <w:t xml:space="preserve"> (</w:t>
      </w:r>
      <w:r w:rsidR="00631F40" w:rsidRPr="00631F40">
        <w:rPr>
          <w:rFonts w:ascii="Arial" w:hAnsi="Arial" w:hint="cs"/>
          <w:b/>
          <w:bCs/>
          <w:noProof w:val="0"/>
          <w:rtl/>
        </w:rPr>
        <w:t>האב</w:t>
      </w:r>
      <w:r w:rsidR="00631F40">
        <w:rPr>
          <w:rFonts w:ascii="Arial" w:hAnsi="Arial" w:hint="cs"/>
          <w:noProof w:val="0"/>
          <w:rtl/>
        </w:rPr>
        <w:t xml:space="preserve"> ו</w:t>
      </w:r>
      <w:r w:rsidR="00631F40" w:rsidRPr="00631F40">
        <w:rPr>
          <w:rFonts w:ascii="Arial" w:hAnsi="Arial" w:hint="cs"/>
          <w:b/>
          <w:bCs/>
          <w:noProof w:val="0"/>
          <w:rtl/>
        </w:rPr>
        <w:t xml:space="preserve">האם </w:t>
      </w:r>
      <w:r w:rsidR="00631F40">
        <w:rPr>
          <w:rFonts w:ascii="Arial" w:hAnsi="Arial" w:hint="cs"/>
          <w:noProof w:val="0"/>
          <w:rtl/>
        </w:rPr>
        <w:t>בהתאמה, להלן ביחד: "</w:t>
      </w:r>
      <w:r w:rsidR="00631F40" w:rsidRPr="00631F40">
        <w:rPr>
          <w:rFonts w:ascii="Arial" w:hAnsi="Arial" w:hint="cs"/>
          <w:b/>
          <w:bCs/>
          <w:noProof w:val="0"/>
          <w:rtl/>
        </w:rPr>
        <w:t>הצדדים</w:t>
      </w:r>
      <w:r w:rsidR="00631F40">
        <w:rPr>
          <w:rFonts w:ascii="Arial" w:hAnsi="Arial" w:hint="cs"/>
          <w:noProof w:val="0"/>
          <w:rtl/>
        </w:rPr>
        <w:t>")</w:t>
      </w:r>
      <w:r>
        <w:rPr>
          <w:rFonts w:ascii="Arial" w:hAnsi="Arial" w:hint="cs"/>
          <w:noProof w:val="0"/>
          <w:rtl/>
        </w:rPr>
        <w:t xml:space="preserve"> נישאו זל"ז כדמו"י בשנת 2018. מנישואיהם נולדה הקטינה שפרטיה בכותרת. בשנת 2024 עלו יחסיהם על שרטון והם נפרדו.</w:t>
      </w:r>
    </w:p>
    <w:p w:rsidR="00FB7293" w:rsidRDefault="00AD069A" w:rsidP="00FB7293">
      <w:pPr>
        <w:spacing w:after="120" w:line="360" w:lineRule="auto"/>
        <w:ind w:left="708" w:hanging="709"/>
        <w:jc w:val="both"/>
        <w:rPr>
          <w:rFonts w:ascii="Arial" w:hAnsi="Arial"/>
          <w:noProof w:val="0"/>
          <w:rtl/>
        </w:rPr>
      </w:pPr>
      <w:r>
        <w:rPr>
          <w:rFonts w:ascii="David" w:hAnsi="David" w:hint="cs"/>
          <w:color w:val="000000"/>
          <w:rtl/>
        </w:rPr>
        <w:t>3.</w:t>
      </w:r>
      <w:r>
        <w:rPr>
          <w:rFonts w:ascii="Arial" w:hAnsi="Arial" w:hint="cs"/>
          <w:noProof w:val="0"/>
          <w:rtl/>
        </w:rPr>
        <w:tab/>
      </w:r>
      <w:r w:rsidR="00631F40">
        <w:rPr>
          <w:rFonts w:ascii="Arial" w:hAnsi="Arial" w:hint="cs"/>
          <w:noProof w:val="0"/>
          <w:rtl/>
        </w:rPr>
        <w:t xml:space="preserve">ביום 26.9.2024 הגיש המבקש את התובענה קמא, לחלוקת זמני שהות ואחריות הורית בקשר עם הקטינה. </w:t>
      </w:r>
      <w:r w:rsidR="00FB7293">
        <w:rPr>
          <w:rFonts w:ascii="Arial" w:hAnsi="Arial" w:hint="cs"/>
          <w:noProof w:val="0"/>
          <w:rtl/>
        </w:rPr>
        <w:t>בד בבד עם הגשת התובענה קמא, הגיש המבקש "בקשה לסעד זמני לקביעת זמני שהות זמניים".</w:t>
      </w:r>
    </w:p>
    <w:p w:rsidR="00AD069A" w:rsidRDefault="00FB7293" w:rsidP="00FB7293">
      <w:pPr>
        <w:spacing w:after="120" w:line="360" w:lineRule="auto"/>
        <w:ind w:left="708" w:hanging="709"/>
        <w:jc w:val="both"/>
        <w:rPr>
          <w:rFonts w:ascii="David" w:hAnsi="David"/>
          <w:color w:val="000000"/>
          <w:rtl/>
        </w:rPr>
      </w:pPr>
      <w:r>
        <w:rPr>
          <w:rFonts w:ascii="David" w:hAnsi="David"/>
          <w:color w:val="000000"/>
          <w:rtl/>
        </w:rPr>
        <w:tab/>
      </w:r>
      <w:r w:rsidRPr="00D106EA">
        <w:rPr>
          <w:rFonts w:ascii="David" w:hAnsi="David" w:hint="cs"/>
          <w:color w:val="000000"/>
          <w:rtl/>
        </w:rPr>
        <w:t>במסגרת הבקשה ביקש המבקש כי יישמרו זמני השהות שנהגו עד להגשת הבקשה, לפיהם המבקש אוסף את הקטינה מהמסגרת בימי שני ורביעי</w:t>
      </w:r>
      <w:r w:rsidR="00D106EA" w:rsidRPr="00D106EA">
        <w:rPr>
          <w:rFonts w:ascii="David" w:hAnsi="David" w:hint="cs"/>
          <w:color w:val="000000"/>
          <w:rtl/>
        </w:rPr>
        <w:t xml:space="preserve"> כולל לינה</w:t>
      </w:r>
      <w:r w:rsidRPr="00D106EA">
        <w:rPr>
          <w:rFonts w:ascii="David" w:hAnsi="David" w:hint="cs"/>
          <w:color w:val="000000"/>
          <w:rtl/>
        </w:rPr>
        <w:t>, ובכל שישי לסירוגין.</w:t>
      </w:r>
    </w:p>
    <w:p w:rsidR="00FB7293" w:rsidRDefault="00FB7293" w:rsidP="00FB7293">
      <w:pPr>
        <w:spacing w:after="120" w:line="360" w:lineRule="auto"/>
        <w:ind w:left="708" w:hanging="709"/>
        <w:jc w:val="both"/>
        <w:rPr>
          <w:rFonts w:ascii="Arial" w:hAnsi="Arial"/>
          <w:noProof w:val="0"/>
          <w:rtl/>
        </w:rPr>
      </w:pPr>
      <w:r>
        <w:rPr>
          <w:rFonts w:ascii="David" w:hAnsi="David" w:hint="cs"/>
          <w:color w:val="000000"/>
          <w:rtl/>
        </w:rPr>
        <w:t>4.</w:t>
      </w:r>
      <w:r>
        <w:rPr>
          <w:rFonts w:ascii="David" w:hAnsi="David" w:hint="cs"/>
          <w:color w:val="000000"/>
          <w:rtl/>
        </w:rPr>
        <w:tab/>
        <w:t>בתגובת המשיבה מיום 1.10.24, ביקשה המשיבה כי יימשכו זמני השהות הנוהגים</w:t>
      </w:r>
      <w:r>
        <w:rPr>
          <w:rFonts w:ascii="Arial" w:hAnsi="Arial" w:hint="cs"/>
          <w:noProof w:val="0"/>
          <w:rtl/>
        </w:rPr>
        <w:t>, ופירטה כי המבקש אוסף את הקטינה מהמסגרת בימי שני (עם לינה), ימי רביעי (ללא לינה) ובכל שישי לסירוגין, ומחזיר את הקטינה לבית המשיבה עד מוצאי שבת בשעה 19:30.</w:t>
      </w:r>
    </w:p>
    <w:p w:rsidR="00FB7293" w:rsidRDefault="00FB7293" w:rsidP="00FB7293">
      <w:pPr>
        <w:spacing w:after="120" w:line="360" w:lineRule="auto"/>
        <w:ind w:left="708" w:hanging="709"/>
        <w:jc w:val="both"/>
        <w:rPr>
          <w:rFonts w:ascii="Arial" w:hAnsi="Arial"/>
          <w:noProof w:val="0"/>
          <w:rtl/>
        </w:rPr>
      </w:pPr>
      <w:r>
        <w:rPr>
          <w:rFonts w:ascii="Arial" w:hAnsi="Arial" w:hint="cs"/>
          <w:noProof w:val="0"/>
          <w:rtl/>
        </w:rPr>
        <w:t>5.</w:t>
      </w:r>
      <w:r>
        <w:rPr>
          <w:rFonts w:ascii="Arial" w:hAnsi="Arial" w:hint="cs"/>
          <w:noProof w:val="0"/>
          <w:rtl/>
        </w:rPr>
        <w:tab/>
      </w:r>
      <w:r w:rsidR="00AB5901">
        <w:rPr>
          <w:rFonts w:ascii="Arial" w:hAnsi="Arial" w:hint="cs"/>
          <w:noProof w:val="0"/>
          <w:rtl/>
        </w:rPr>
        <w:t>בתשובתו מיום 6.10.24, התנגד המבקש לזמני השהות שציינה המשיבה בתגובתה הנ"ל, וטען כי אינם תואמים למצב המתקיים בפועל. לטענתו, זמני השהות הם: ימי ראשון לסירוגין (בסוף שבוע ששהתה עם המשיבה); ימי שני ורביעי עם לינה; ימי שישי לסירוגין והחזרה למסגרת בראשון בבוקר.</w:t>
      </w:r>
    </w:p>
    <w:p w:rsidR="000D6CDA" w:rsidRDefault="000D6CDA" w:rsidP="000D6CDA">
      <w:pPr>
        <w:spacing w:after="120" w:line="360" w:lineRule="auto"/>
        <w:ind w:left="708" w:hanging="709"/>
        <w:jc w:val="both"/>
        <w:rPr>
          <w:rFonts w:ascii="Arial" w:hAnsi="Arial"/>
          <w:noProof w:val="0"/>
          <w:rtl/>
        </w:rPr>
      </w:pPr>
      <w:r>
        <w:rPr>
          <w:rFonts w:ascii="Arial" w:hAnsi="Arial" w:hint="cs"/>
          <w:noProof w:val="0"/>
          <w:rtl/>
        </w:rPr>
        <w:lastRenderedPageBreak/>
        <w:t>6.</w:t>
      </w:r>
      <w:r>
        <w:rPr>
          <w:rFonts w:ascii="Arial" w:hAnsi="Arial" w:hint="cs"/>
          <w:noProof w:val="0"/>
          <w:rtl/>
        </w:rPr>
        <w:tab/>
        <w:t>בתגובת המשיבה מיום 9.10.2024, טענה כי מדובר הלכה למעשה בהרחבת זמני השהות הנוהגים כיום, וכי הקטינה לא לנה בבית המבקש בימי רביעי אלא רק בימי שני; כן טענה כי בסופי שבוע ששוהה עם המבקש, הקטינה מוחזרת לביתה במוצאי שבת ולא ביום ראשון היישר למסגרת.</w:t>
      </w:r>
    </w:p>
    <w:p w:rsidR="00DA5246" w:rsidRDefault="00DA5246" w:rsidP="000D6CDA">
      <w:pPr>
        <w:spacing w:after="120" w:line="360" w:lineRule="auto"/>
        <w:ind w:left="708" w:hanging="709"/>
        <w:jc w:val="both"/>
        <w:rPr>
          <w:rFonts w:ascii="Arial" w:hAnsi="Arial"/>
          <w:noProof w:val="0"/>
          <w:rtl/>
        </w:rPr>
      </w:pPr>
      <w:r>
        <w:rPr>
          <w:rFonts w:ascii="Arial" w:hAnsi="Arial"/>
          <w:noProof w:val="0"/>
          <w:rtl/>
        </w:rPr>
        <w:tab/>
      </w:r>
      <w:r>
        <w:rPr>
          <w:rFonts w:ascii="Arial" w:hAnsi="Arial" w:hint="cs"/>
          <w:noProof w:val="0"/>
          <w:rtl/>
        </w:rPr>
        <w:t>עוד עמדה המשיבה על "חזקת הגיל הרך" וציינה כי לעמדתה, במקרה דנן לא מתקיימים חריגים המאפשרים לחרוג מחזקת הגיל הרך ולכן אין לאפשר את הרחבת זמני השהות כפי שדורש המבקש.</w:t>
      </w:r>
    </w:p>
    <w:p w:rsidR="000D6CDA" w:rsidRDefault="000D6CDA" w:rsidP="000D6CDA">
      <w:pPr>
        <w:spacing w:after="120" w:line="360" w:lineRule="auto"/>
        <w:ind w:left="708" w:hanging="709"/>
        <w:jc w:val="both"/>
        <w:rPr>
          <w:rFonts w:ascii="Arial" w:hAnsi="Arial"/>
          <w:noProof w:val="0"/>
          <w:rtl/>
        </w:rPr>
      </w:pPr>
      <w:r>
        <w:rPr>
          <w:rFonts w:ascii="Arial" w:hAnsi="Arial"/>
          <w:noProof w:val="0"/>
          <w:rtl/>
        </w:rPr>
        <w:tab/>
      </w:r>
      <w:r>
        <w:rPr>
          <w:rFonts w:ascii="Arial" w:hAnsi="Arial" w:hint="cs"/>
          <w:noProof w:val="0"/>
          <w:rtl/>
        </w:rPr>
        <w:t>יצוין כי לתמיכה בטענותיה, צירפה המשיבה לתגובתה הנ"ל תמונות של הקטינה, שצולמו על ידי המשיבה בימי רביעי ומוצאי שבת, בחודשי יוני-יולי-אוגוסט.</w:t>
      </w:r>
    </w:p>
    <w:p w:rsidR="000D6CDA" w:rsidRDefault="000D6CDA" w:rsidP="000D6CDA">
      <w:pPr>
        <w:spacing w:after="120" w:line="360" w:lineRule="auto"/>
        <w:ind w:left="708" w:hanging="709"/>
        <w:jc w:val="both"/>
        <w:rPr>
          <w:rFonts w:ascii="Arial" w:hAnsi="Arial"/>
          <w:noProof w:val="0"/>
          <w:rtl/>
        </w:rPr>
      </w:pPr>
      <w:r>
        <w:rPr>
          <w:rFonts w:ascii="Arial" w:hAnsi="Arial" w:hint="cs"/>
          <w:noProof w:val="0"/>
          <w:rtl/>
        </w:rPr>
        <w:t>7.</w:t>
      </w:r>
      <w:r>
        <w:rPr>
          <w:rFonts w:ascii="Arial" w:hAnsi="Arial" w:hint="cs"/>
          <w:noProof w:val="0"/>
          <w:rtl/>
        </w:rPr>
        <w:tab/>
      </w:r>
      <w:r w:rsidRPr="000D6CDA">
        <w:rPr>
          <w:rFonts w:ascii="Arial" w:hAnsi="Arial" w:hint="cs"/>
          <w:noProof w:val="0"/>
          <w:u w:val="single"/>
          <w:rtl/>
        </w:rPr>
        <w:t>ביום 20.10.2024 ניתנה ההחלטה קמא בתיק קמא, כהאי לישנא</w:t>
      </w:r>
      <w:r>
        <w:rPr>
          <w:rFonts w:ascii="Arial" w:hAnsi="Arial" w:hint="cs"/>
          <w:noProof w:val="0"/>
          <w:rtl/>
        </w:rPr>
        <w:t>:</w:t>
      </w:r>
    </w:p>
    <w:p w:rsidR="000D6CDA" w:rsidRPr="000D6CDA" w:rsidRDefault="000D6CDA" w:rsidP="000D6CDA">
      <w:pPr>
        <w:pStyle w:val="ad"/>
        <w:numPr>
          <w:ilvl w:val="0"/>
          <w:numId w:val="1"/>
        </w:numPr>
        <w:spacing w:after="120" w:line="360" w:lineRule="auto"/>
        <w:ind w:left="1417" w:right="992" w:hanging="567"/>
        <w:contextualSpacing w:val="0"/>
        <w:jc w:val="both"/>
        <w:rPr>
          <w:rFonts w:ascii="David" w:hAnsi="David"/>
          <w:b/>
          <w:bCs/>
        </w:rPr>
      </w:pPr>
      <w:r w:rsidRPr="000D6CDA">
        <w:rPr>
          <w:rFonts w:ascii="David" w:hAnsi="David"/>
          <w:b/>
          <w:bCs/>
          <w:rtl/>
        </w:rPr>
        <w:t xml:space="preserve">הצדדים הגישו תביעות הדדיות בעניין הקטינה, בתם המשותפת, אשר פרטיה האישיים ופרטי התביעות ההדדיות רשומים בכותרת החלטתי זו.  </w:t>
      </w:r>
    </w:p>
    <w:p w:rsidR="000D6CDA" w:rsidRPr="000D6CDA" w:rsidRDefault="000D6CDA" w:rsidP="000D6CDA">
      <w:pPr>
        <w:pStyle w:val="ad"/>
        <w:numPr>
          <w:ilvl w:val="0"/>
          <w:numId w:val="2"/>
        </w:numPr>
        <w:spacing w:after="120" w:line="360" w:lineRule="auto"/>
        <w:ind w:left="1984" w:right="992" w:hanging="567"/>
        <w:contextualSpacing w:val="0"/>
        <w:jc w:val="both"/>
        <w:rPr>
          <w:rFonts w:ascii="David" w:hAnsi="David"/>
          <w:b/>
          <w:bCs/>
        </w:rPr>
      </w:pPr>
      <w:r w:rsidRPr="000D6CDA">
        <w:rPr>
          <w:rFonts w:ascii="David" w:hAnsi="David"/>
          <w:b/>
          <w:bCs/>
          <w:rtl/>
        </w:rPr>
        <w:t xml:space="preserve">לאחר שעיינתי בבקשה מס' 1 ובתגובה אשר הוגשה לה ולאחר ששקלתי טענות הצדדים ובאופן זמני בלבד ועד להחלטה אחרת אני קובע כי זמני השהות בין האב לקטינה יתקיימו כדלקמן: </w:t>
      </w:r>
    </w:p>
    <w:p w:rsidR="000D6CDA" w:rsidRPr="000D6CDA" w:rsidRDefault="000D6CDA" w:rsidP="000D6CDA">
      <w:pPr>
        <w:pStyle w:val="ad"/>
        <w:numPr>
          <w:ilvl w:val="0"/>
          <w:numId w:val="3"/>
        </w:numPr>
        <w:spacing w:after="120" w:line="360" w:lineRule="auto"/>
        <w:ind w:left="2267" w:right="992" w:hanging="425"/>
        <w:contextualSpacing w:val="0"/>
        <w:jc w:val="both"/>
        <w:rPr>
          <w:rFonts w:ascii="David" w:hAnsi="David"/>
          <w:b/>
          <w:bCs/>
        </w:rPr>
      </w:pPr>
      <w:r w:rsidRPr="000D6CDA">
        <w:rPr>
          <w:rFonts w:ascii="David" w:hAnsi="David"/>
          <w:b/>
          <w:bCs/>
          <w:rtl/>
        </w:rPr>
        <w:t xml:space="preserve">בימי שני יאסוף האב את הקטינה ישירות ממסגרת החינוך וישיבה למחרת היום ישירות למסגרת החינוך. </w:t>
      </w:r>
    </w:p>
    <w:p w:rsidR="000D6CDA" w:rsidRPr="000D6CDA" w:rsidRDefault="000D6CDA" w:rsidP="000D6CDA">
      <w:pPr>
        <w:pStyle w:val="ad"/>
        <w:numPr>
          <w:ilvl w:val="0"/>
          <w:numId w:val="3"/>
        </w:numPr>
        <w:spacing w:after="120" w:line="360" w:lineRule="auto"/>
        <w:ind w:left="2267" w:right="992" w:hanging="425"/>
        <w:contextualSpacing w:val="0"/>
        <w:jc w:val="both"/>
        <w:rPr>
          <w:rFonts w:ascii="David" w:hAnsi="David"/>
          <w:b/>
          <w:bCs/>
        </w:rPr>
      </w:pPr>
      <w:r w:rsidRPr="000D6CDA">
        <w:rPr>
          <w:rFonts w:ascii="David" w:hAnsi="David"/>
          <w:b/>
          <w:bCs/>
          <w:rtl/>
        </w:rPr>
        <w:t xml:space="preserve">בימי רביעי יאסוף האב את הקטינה ממסגרת החינוך וישיבה לבית האם באותו היום בשעה 19:30 לאחר ארוחת ערב ומקלחת. </w:t>
      </w:r>
    </w:p>
    <w:p w:rsidR="000D6CDA" w:rsidRPr="000D6CDA" w:rsidRDefault="000D6CDA" w:rsidP="000D6CDA">
      <w:pPr>
        <w:pStyle w:val="ad"/>
        <w:numPr>
          <w:ilvl w:val="0"/>
          <w:numId w:val="3"/>
        </w:numPr>
        <w:spacing w:after="120" w:line="360" w:lineRule="auto"/>
        <w:ind w:left="2267" w:right="992" w:hanging="425"/>
        <w:contextualSpacing w:val="0"/>
        <w:jc w:val="both"/>
        <w:rPr>
          <w:rFonts w:ascii="David" w:hAnsi="David"/>
          <w:b/>
          <w:bCs/>
        </w:rPr>
      </w:pPr>
      <w:r w:rsidRPr="000D6CDA">
        <w:rPr>
          <w:rFonts w:ascii="David" w:hAnsi="David"/>
          <w:b/>
          <w:bCs/>
          <w:rtl/>
        </w:rPr>
        <w:t xml:space="preserve">ביום שישי אחת לשבועיים יאסוף האב את הקטינה ישירות ממסגרת החינוך וישיבה לבית האם במוצ"ש בשעה 19:30 לאחר ארוחת ערב ומקלחת. </w:t>
      </w:r>
    </w:p>
    <w:p w:rsidR="000D6CDA" w:rsidRPr="000D6CDA" w:rsidRDefault="000D6CDA" w:rsidP="000D6CDA">
      <w:pPr>
        <w:pStyle w:val="ad"/>
        <w:numPr>
          <w:ilvl w:val="0"/>
          <w:numId w:val="3"/>
        </w:numPr>
        <w:spacing w:after="120" w:line="360" w:lineRule="auto"/>
        <w:ind w:left="2267" w:right="992" w:hanging="425"/>
        <w:contextualSpacing w:val="0"/>
        <w:jc w:val="both"/>
        <w:rPr>
          <w:rFonts w:ascii="David" w:hAnsi="David"/>
          <w:b/>
          <w:bCs/>
          <w:u w:val="single"/>
          <w:rtl/>
        </w:rPr>
      </w:pPr>
      <w:r w:rsidRPr="000D6CDA">
        <w:rPr>
          <w:rFonts w:ascii="David" w:hAnsi="David"/>
          <w:b/>
          <w:bCs/>
          <w:u w:val="single"/>
          <w:rtl/>
        </w:rPr>
        <w:t>הסדרי השהות של הקטינה עם אביה יחלו השבוע, ביום שישי 25.10.24</w:t>
      </w:r>
      <w:r w:rsidRPr="000D6CDA">
        <w:rPr>
          <w:rFonts w:ascii="David" w:hAnsi="David" w:hint="cs"/>
          <w:b/>
          <w:bCs/>
          <w:u w:val="single"/>
          <w:rtl/>
        </w:rPr>
        <w:t xml:space="preserve">, </w:t>
      </w:r>
      <w:r w:rsidRPr="000D6CDA">
        <w:rPr>
          <w:rFonts w:ascii="David" w:hAnsi="David"/>
          <w:b/>
          <w:bCs/>
          <w:u w:val="single"/>
          <w:rtl/>
        </w:rPr>
        <w:t xml:space="preserve">(כלומר בסוף השבוע הקרוב תשהה הקטינה עם אביה) ובשבוע לאחר מכן יחלו הזמני השהות שקבעתי לעיל בהתאמה. </w:t>
      </w:r>
    </w:p>
    <w:p w:rsidR="000D6CDA" w:rsidRPr="000D6CDA" w:rsidRDefault="000D6CDA" w:rsidP="000D6CDA">
      <w:pPr>
        <w:pStyle w:val="ad"/>
        <w:spacing w:after="120" w:line="360" w:lineRule="auto"/>
        <w:ind w:left="2267" w:right="992" w:hanging="425"/>
        <w:contextualSpacing w:val="0"/>
        <w:jc w:val="both"/>
        <w:rPr>
          <w:rFonts w:ascii="David" w:hAnsi="David"/>
          <w:b/>
          <w:bCs/>
          <w:u w:val="single"/>
          <w:rtl/>
        </w:rPr>
      </w:pPr>
      <w:r w:rsidRPr="000D6CDA">
        <w:rPr>
          <w:rFonts w:ascii="David" w:hAnsi="David"/>
          <w:b/>
          <w:bCs/>
          <w:rtl/>
        </w:rPr>
        <w:tab/>
      </w:r>
      <w:r w:rsidRPr="000D6CDA">
        <w:rPr>
          <w:rFonts w:ascii="David" w:hAnsi="David"/>
          <w:b/>
          <w:bCs/>
          <w:u w:val="single"/>
          <w:rtl/>
        </w:rPr>
        <w:t xml:space="preserve">עד ליום 25.10.24  תחול החלטתי מיום 07.10.24. </w:t>
      </w:r>
    </w:p>
    <w:p w:rsidR="000D6CDA" w:rsidRPr="000D6CDA" w:rsidRDefault="000D6CDA" w:rsidP="00C037F6">
      <w:pPr>
        <w:pStyle w:val="ad"/>
        <w:numPr>
          <w:ilvl w:val="0"/>
          <w:numId w:val="1"/>
        </w:numPr>
        <w:spacing w:after="120" w:line="360" w:lineRule="auto"/>
        <w:ind w:left="1417" w:right="992" w:hanging="567"/>
        <w:contextualSpacing w:val="0"/>
        <w:jc w:val="both"/>
        <w:rPr>
          <w:rFonts w:ascii="David" w:hAnsi="David"/>
          <w:b/>
          <w:bCs/>
          <w:rtl/>
        </w:rPr>
      </w:pPr>
      <w:r w:rsidRPr="000D6CDA">
        <w:rPr>
          <w:rFonts w:ascii="David" w:hAnsi="David"/>
          <w:b/>
          <w:bCs/>
          <w:rtl/>
        </w:rPr>
        <w:t xml:space="preserve">בנוסף אני  מורה על הגשת תסקיר עו"ס לסדרי דין מאגף שירותי הרווחה </w:t>
      </w:r>
      <w:r w:rsidR="00C037F6">
        <w:rPr>
          <w:rFonts w:ascii="David" w:hAnsi="David" w:hint="cs"/>
          <w:b/>
          <w:bCs/>
          <w:rtl/>
        </w:rPr>
        <w:t xml:space="preserve">ב ... </w:t>
      </w:r>
      <w:r w:rsidRPr="000D6CDA">
        <w:rPr>
          <w:rFonts w:ascii="David" w:hAnsi="David"/>
          <w:b/>
          <w:bCs/>
          <w:rtl/>
        </w:rPr>
        <w:t xml:space="preserve">. </w:t>
      </w:r>
    </w:p>
    <w:p w:rsidR="000D6CDA" w:rsidRPr="000D6CDA" w:rsidRDefault="000D6CDA" w:rsidP="000D6CDA">
      <w:pPr>
        <w:pStyle w:val="ad"/>
        <w:numPr>
          <w:ilvl w:val="0"/>
          <w:numId w:val="1"/>
        </w:numPr>
        <w:spacing w:after="120" w:line="360" w:lineRule="auto"/>
        <w:ind w:left="1417" w:right="992" w:hanging="567"/>
        <w:contextualSpacing w:val="0"/>
        <w:jc w:val="both"/>
        <w:rPr>
          <w:rFonts w:ascii="David" w:hAnsi="David"/>
          <w:b/>
          <w:bCs/>
        </w:rPr>
      </w:pPr>
      <w:r w:rsidRPr="000D6CDA">
        <w:rPr>
          <w:rFonts w:ascii="David" w:hAnsi="David"/>
          <w:b/>
          <w:bCs/>
          <w:rtl/>
        </w:rPr>
        <w:t xml:space="preserve">התסקיר יוגש עד ליום 02.02.2025.  </w:t>
      </w:r>
    </w:p>
    <w:p w:rsidR="000D6CDA" w:rsidRPr="000D6CDA" w:rsidRDefault="000D6CDA" w:rsidP="000D6CDA">
      <w:pPr>
        <w:pStyle w:val="ad"/>
        <w:numPr>
          <w:ilvl w:val="0"/>
          <w:numId w:val="1"/>
        </w:numPr>
        <w:spacing w:after="120" w:line="360" w:lineRule="auto"/>
        <w:ind w:left="1417" w:right="992" w:hanging="567"/>
        <w:contextualSpacing w:val="0"/>
        <w:jc w:val="both"/>
        <w:rPr>
          <w:rFonts w:ascii="David" w:hAnsi="David"/>
          <w:b/>
          <w:bCs/>
        </w:rPr>
      </w:pPr>
      <w:r w:rsidRPr="000D6CDA">
        <w:rPr>
          <w:rFonts w:ascii="David" w:hAnsi="David"/>
          <w:b/>
          <w:bCs/>
          <w:rtl/>
        </w:rPr>
        <w:t>בהתאם להוראות סעיפים 19+68 לחוק הכשרות המשפטית והאפוטרופסות, התשכ"ב-1962, אני  מסמיך עו"ס לסדרי דין לקבוע ו/או לשנות את הסדרי הביקורים וחלוקת הזמן ההורי, מעת לעת לפי הצורך.</w:t>
      </w:r>
    </w:p>
    <w:p w:rsidR="000D6CDA" w:rsidRPr="000D6CDA" w:rsidRDefault="000D6CDA" w:rsidP="000D6CDA">
      <w:pPr>
        <w:pStyle w:val="ad"/>
        <w:numPr>
          <w:ilvl w:val="0"/>
          <w:numId w:val="1"/>
        </w:numPr>
        <w:spacing w:after="120" w:line="360" w:lineRule="auto"/>
        <w:ind w:left="1417" w:right="992" w:hanging="567"/>
        <w:contextualSpacing w:val="0"/>
        <w:jc w:val="both"/>
        <w:rPr>
          <w:rFonts w:ascii="David" w:hAnsi="David"/>
          <w:b/>
          <w:bCs/>
          <w:rtl/>
        </w:rPr>
      </w:pPr>
      <w:r w:rsidRPr="000D6CDA">
        <w:rPr>
          <w:rFonts w:ascii="David" w:hAnsi="David"/>
          <w:b/>
          <w:bCs/>
          <w:rtl/>
        </w:rPr>
        <w:t xml:space="preserve">הסמכתה של עו"ס לסדרי דין למשך 12 חודשים החל מהיום. </w:t>
      </w:r>
    </w:p>
    <w:p w:rsidR="000D6CDA" w:rsidRPr="000D6CDA" w:rsidRDefault="000D6CDA" w:rsidP="00C037F6">
      <w:pPr>
        <w:pStyle w:val="ad"/>
        <w:numPr>
          <w:ilvl w:val="0"/>
          <w:numId w:val="1"/>
        </w:numPr>
        <w:spacing w:after="120" w:line="360" w:lineRule="auto"/>
        <w:ind w:left="1417" w:right="992" w:hanging="567"/>
        <w:contextualSpacing w:val="0"/>
        <w:jc w:val="both"/>
        <w:rPr>
          <w:rFonts w:ascii="David" w:hAnsi="David"/>
          <w:b/>
          <w:bCs/>
          <w:u w:val="single"/>
          <w:rtl/>
        </w:rPr>
      </w:pPr>
      <w:r w:rsidRPr="000D6CDA">
        <w:rPr>
          <w:rFonts w:ascii="David" w:hAnsi="David"/>
          <w:b/>
          <w:bCs/>
          <w:u w:val="single"/>
          <w:rtl/>
        </w:rPr>
        <w:lastRenderedPageBreak/>
        <w:t xml:space="preserve">המזכירות תמציא החלטתי זו למחלקה לשירותים חברתיים </w:t>
      </w:r>
      <w:r w:rsidR="00C037F6">
        <w:rPr>
          <w:rFonts w:ascii="David" w:hAnsi="David" w:hint="cs"/>
          <w:b/>
          <w:bCs/>
          <w:u w:val="single"/>
          <w:rtl/>
        </w:rPr>
        <w:t>ב...</w:t>
      </w:r>
      <w:r w:rsidRPr="000D6CDA">
        <w:rPr>
          <w:rFonts w:ascii="David" w:hAnsi="David"/>
          <w:b/>
          <w:bCs/>
          <w:u w:val="single"/>
          <w:rtl/>
        </w:rPr>
        <w:t xml:space="preserve"> ולצדדים (לאחר העברת ההחלטה לצדדים תאשר המזכירות טלפונית קבלתה). </w:t>
      </w:r>
    </w:p>
    <w:p w:rsidR="000D6CDA" w:rsidRDefault="000D6CDA" w:rsidP="000D6CDA">
      <w:pPr>
        <w:spacing w:after="120" w:line="360" w:lineRule="auto"/>
        <w:ind w:left="708" w:hanging="709"/>
        <w:jc w:val="both"/>
        <w:rPr>
          <w:rFonts w:ascii="David" w:hAnsi="David"/>
          <w:rtl/>
        </w:rPr>
      </w:pPr>
      <w:r>
        <w:rPr>
          <w:rFonts w:ascii="David" w:hAnsi="David"/>
          <w:rtl/>
        </w:rPr>
        <w:tab/>
      </w:r>
      <w:r>
        <w:rPr>
          <w:rFonts w:ascii="David" w:hAnsi="David" w:hint="cs"/>
          <w:rtl/>
        </w:rPr>
        <w:t>בגין החלטה זו, הוגשה בקשת רשות הערעור דנן.</w:t>
      </w:r>
    </w:p>
    <w:p w:rsidR="000D6CDA" w:rsidRDefault="000D6CDA" w:rsidP="000D6CDA">
      <w:pPr>
        <w:spacing w:after="120" w:line="360" w:lineRule="auto"/>
        <w:ind w:left="708" w:hanging="709"/>
        <w:jc w:val="both"/>
        <w:rPr>
          <w:rFonts w:ascii="David" w:hAnsi="David"/>
          <w:rtl/>
        </w:rPr>
      </w:pPr>
    </w:p>
    <w:p w:rsidR="000D6CDA" w:rsidRPr="000D6CDA" w:rsidRDefault="000D6CDA" w:rsidP="000D6CDA">
      <w:pPr>
        <w:spacing w:after="120" w:line="360" w:lineRule="auto"/>
        <w:jc w:val="both"/>
        <w:rPr>
          <w:rFonts w:ascii="David" w:hAnsi="David"/>
          <w:b/>
          <w:bCs/>
          <w:u w:val="single"/>
          <w:rtl/>
        </w:rPr>
      </w:pPr>
      <w:r w:rsidRPr="000D6CDA">
        <w:rPr>
          <w:rFonts w:ascii="David" w:hAnsi="David" w:hint="cs"/>
          <w:b/>
          <w:bCs/>
          <w:u w:val="single"/>
          <w:rtl/>
        </w:rPr>
        <w:t>טענות המבקש בבקשת רשות הערעור</w:t>
      </w:r>
    </w:p>
    <w:p w:rsidR="00353670" w:rsidRDefault="000D6CDA" w:rsidP="00353670">
      <w:pPr>
        <w:spacing w:after="120" w:line="360" w:lineRule="auto"/>
        <w:ind w:left="708" w:hanging="708"/>
        <w:jc w:val="both"/>
        <w:rPr>
          <w:rFonts w:ascii="David" w:hAnsi="David"/>
          <w:rtl/>
        </w:rPr>
      </w:pPr>
      <w:r>
        <w:rPr>
          <w:rFonts w:ascii="David" w:hAnsi="David" w:hint="cs"/>
          <w:rtl/>
        </w:rPr>
        <w:t>8.</w:t>
      </w:r>
      <w:r>
        <w:rPr>
          <w:rFonts w:ascii="David" w:hAnsi="David"/>
          <w:rtl/>
        </w:rPr>
        <w:tab/>
      </w:r>
      <w:r w:rsidR="00353670" w:rsidRPr="00353670">
        <w:rPr>
          <w:rFonts w:ascii="David" w:hAnsi="David" w:hint="cs"/>
          <w:u w:val="single"/>
          <w:rtl/>
        </w:rPr>
        <w:t>להלן תמצית טענות המבקש בבקשת רשות הערעור</w:t>
      </w:r>
      <w:r w:rsidR="00353670">
        <w:rPr>
          <w:rFonts w:ascii="David" w:hAnsi="David" w:hint="cs"/>
          <w:rtl/>
        </w:rPr>
        <w:t>:</w:t>
      </w:r>
    </w:p>
    <w:p w:rsidR="00694556" w:rsidRDefault="00353670" w:rsidP="00353670">
      <w:pPr>
        <w:spacing w:after="120" w:line="360" w:lineRule="auto"/>
        <w:ind w:left="1275" w:hanging="567"/>
        <w:jc w:val="both"/>
        <w:rPr>
          <w:rFonts w:ascii="David" w:hAnsi="David"/>
          <w:rtl/>
        </w:rPr>
      </w:pPr>
      <w:r>
        <w:rPr>
          <w:rFonts w:ascii="David" w:hAnsi="David" w:hint="cs"/>
          <w:rtl/>
        </w:rPr>
        <w:t>א.</w:t>
      </w:r>
      <w:r>
        <w:rPr>
          <w:rFonts w:ascii="David" w:hAnsi="David" w:hint="cs"/>
          <w:rtl/>
        </w:rPr>
        <w:tab/>
        <w:t xml:space="preserve">בית משפט קמא קיצר את זמני השהות של המבקש עם בתו הקטינה, מבלי שנתן לכך כל נימוק ותוך פגיעה בזכויות ההורה של המבקש. זמני השהות שצוינו בתיק קמא, בבקשת המבקש (ראו סעיף 5 לעיל) הם אלה שהתקיימו בפועל, וההחלטה קמא קיצרה אותם. </w:t>
      </w:r>
    </w:p>
    <w:p w:rsidR="00353670" w:rsidRDefault="00353670" w:rsidP="00353670">
      <w:pPr>
        <w:spacing w:after="120" w:line="360" w:lineRule="auto"/>
        <w:ind w:left="1275" w:hanging="567"/>
        <w:jc w:val="both"/>
        <w:rPr>
          <w:rFonts w:ascii="David" w:hAnsi="David"/>
          <w:rtl/>
        </w:rPr>
      </w:pPr>
      <w:r>
        <w:rPr>
          <w:rFonts w:ascii="David" w:hAnsi="David" w:hint="cs"/>
          <w:rtl/>
        </w:rPr>
        <w:t>ב.</w:t>
      </w:r>
      <w:r>
        <w:rPr>
          <w:rFonts w:ascii="David" w:hAnsi="David" w:hint="cs"/>
          <w:rtl/>
        </w:rPr>
        <w:tab/>
        <w:t xml:space="preserve">כל מטרת המבקש בבקשתו קמא היתה להוסיף לזמני השהות הנוהגים, יום אחד לסירוגין </w:t>
      </w:r>
      <w:r>
        <w:rPr>
          <w:rFonts w:ascii="David" w:hAnsi="David"/>
          <w:rtl/>
        </w:rPr>
        <w:t>–</w:t>
      </w:r>
      <w:r>
        <w:rPr>
          <w:rFonts w:ascii="David" w:hAnsi="David" w:hint="cs"/>
          <w:rtl/>
        </w:rPr>
        <w:t xml:space="preserve"> את ימי א' לאחר סוף השבוע שהקטינה שוהה עם המשיבה.</w:t>
      </w:r>
    </w:p>
    <w:p w:rsidR="00353670" w:rsidRDefault="00353670" w:rsidP="008216D6">
      <w:pPr>
        <w:spacing w:after="120" w:line="360" w:lineRule="auto"/>
        <w:ind w:left="1275" w:hanging="567"/>
        <w:jc w:val="both"/>
        <w:rPr>
          <w:rFonts w:ascii="David" w:hAnsi="David"/>
          <w:rtl/>
        </w:rPr>
      </w:pPr>
      <w:r>
        <w:rPr>
          <w:rFonts w:ascii="David" w:hAnsi="David"/>
          <w:rtl/>
        </w:rPr>
        <w:tab/>
      </w:r>
      <w:r>
        <w:rPr>
          <w:rFonts w:ascii="David" w:hAnsi="David" w:hint="cs"/>
          <w:rtl/>
        </w:rPr>
        <w:t xml:space="preserve">בית משפט קמא לא שת לבו לעובדה כי הצדדים הנם שומרי שבת, וההוראה להחזיר את הקטינה לבית המשיבה במוצאי שבת עד שעה 19:30 היא הוראה לא </w:t>
      </w:r>
      <w:r w:rsidR="008216D6">
        <w:rPr>
          <w:rFonts w:ascii="David" w:hAnsi="David" w:hint="cs"/>
          <w:rtl/>
        </w:rPr>
        <w:t>סבירה</w:t>
      </w:r>
      <w:r>
        <w:rPr>
          <w:rFonts w:ascii="David" w:hAnsi="David" w:hint="cs"/>
          <w:rtl/>
        </w:rPr>
        <w:t xml:space="preserve"> ולא מתיישבת עם אורחות החיים של הצדדים.</w:t>
      </w:r>
    </w:p>
    <w:p w:rsidR="00353670" w:rsidRPr="00B95D6E" w:rsidRDefault="00353670" w:rsidP="00353670">
      <w:pPr>
        <w:spacing w:after="120" w:line="360" w:lineRule="auto"/>
        <w:ind w:left="1275" w:hanging="567"/>
        <w:jc w:val="both"/>
        <w:rPr>
          <w:rFonts w:ascii="Arial" w:hAnsi="Arial"/>
          <w:noProof w:val="0"/>
          <w:rtl/>
        </w:rPr>
      </w:pPr>
      <w:r>
        <w:rPr>
          <w:rFonts w:ascii="David" w:hAnsi="David" w:hint="cs"/>
          <w:rtl/>
        </w:rPr>
        <w:t>ג.</w:t>
      </w:r>
      <w:r>
        <w:rPr>
          <w:rFonts w:ascii="David" w:hAnsi="David" w:hint="cs"/>
          <w:rtl/>
        </w:rPr>
        <w:tab/>
        <w:t>בית משפט קמא לא נימק את החלטתו קמא ולא נתן כל הסבר לביטול לינת הקטינה אצל המבקש בימי רביעי. ובמוצאי שבת. בכך שגה בית משפט קמא, ויש להורות על קיום זמני שהות כפי שפורטו בבקשת המבקש בתיק קמא.</w:t>
      </w:r>
    </w:p>
    <w:p w:rsidR="00694556" w:rsidRDefault="00694556" w:rsidP="000D6CDA">
      <w:pPr>
        <w:spacing w:after="120" w:line="360" w:lineRule="auto"/>
        <w:jc w:val="both"/>
        <w:rPr>
          <w:rFonts w:ascii="Arial" w:hAnsi="Arial"/>
          <w:noProof w:val="0"/>
          <w:rtl/>
        </w:rPr>
      </w:pPr>
    </w:p>
    <w:p w:rsidR="000F6110" w:rsidRDefault="000F6110" w:rsidP="000D6CDA">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0F6110" w:rsidRDefault="000F6110" w:rsidP="000D6CDA">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r>
      <w:r>
        <w:rPr>
          <w:rFonts w:ascii="Arial" w:hAnsi="Arial"/>
          <w:b/>
          <w:bCs/>
          <w:noProof w:val="0"/>
          <w:rtl/>
        </w:rPr>
        <w:t>לאחר עיון בבקשת רשות הערעור על נספחיה ובתיק קמא, שוכנעתי לדחות את בקשת רשות הערעור אף ללא צורך בתשובה, וזאת מכח סמכותי על פי תקנות 138(א)(2) + (5) לתקנות סדר הדין האז</w:t>
      </w:r>
      <w:r w:rsidR="00A44FF3">
        <w:rPr>
          <w:rFonts w:ascii="Arial" w:hAnsi="Arial"/>
          <w:b/>
          <w:bCs/>
          <w:noProof w:val="0"/>
          <w:rtl/>
        </w:rPr>
        <w:t>רחי, תשע"ט-2018</w:t>
      </w:r>
      <w:r>
        <w:rPr>
          <w:rFonts w:ascii="Arial" w:hAnsi="Arial"/>
          <w:b/>
          <w:bCs/>
          <w:noProof w:val="0"/>
          <w:rtl/>
        </w:rPr>
        <w:t>.</w:t>
      </w:r>
    </w:p>
    <w:p w:rsidR="000F6110" w:rsidRDefault="000F6110" w:rsidP="000D6CDA">
      <w:pPr>
        <w:spacing w:after="120" w:line="360" w:lineRule="auto"/>
        <w:ind w:left="720" w:hanging="720"/>
        <w:jc w:val="both"/>
        <w:rPr>
          <w:rFonts w:ascii="Arial" w:hAnsi="Arial"/>
          <w:noProof w:val="0"/>
          <w:rtl/>
        </w:rPr>
      </w:pPr>
      <w:r>
        <w:rPr>
          <w:rFonts w:ascii="Arial" w:hAnsi="Arial"/>
          <w:noProof w:val="0"/>
          <w:rtl/>
        </w:rPr>
        <w:tab/>
        <w:t>להלן אנמק החלטתי.</w:t>
      </w:r>
    </w:p>
    <w:p w:rsidR="000F6110" w:rsidRDefault="000F6110" w:rsidP="000D6CDA">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r>
      <w:r>
        <w:rPr>
          <w:rFonts w:ascii="Arial" w:hAnsi="Arial"/>
          <w:rtl/>
        </w:rPr>
        <w:t xml:space="preserve">ראשית, נזכיר כי עסקינן </w:t>
      </w:r>
      <w:r>
        <w:rPr>
          <w:rFonts w:ascii="Arial" w:hAnsi="Arial"/>
          <w:b/>
          <w:bCs/>
          <w:u w:val="single"/>
          <w:rtl/>
        </w:rPr>
        <w:t>בהחלטה זמנית</w:t>
      </w:r>
      <w:r>
        <w:rPr>
          <w:rFonts w:ascii="Arial" w:hAnsi="Arial"/>
          <w:rtl/>
        </w:rPr>
        <w:t xml:space="preserve"> של בית משפט קמא, העוסקת </w:t>
      </w:r>
      <w:r>
        <w:rPr>
          <w:rFonts w:ascii="Arial" w:hAnsi="Arial" w:hint="cs"/>
          <w:rtl/>
        </w:rPr>
        <w:t>בזמני שהות</w:t>
      </w:r>
      <w:r w:rsidR="00A44FF3">
        <w:rPr>
          <w:rFonts w:ascii="Arial" w:hAnsi="Arial" w:hint="cs"/>
          <w:rtl/>
        </w:rPr>
        <w:t xml:space="preserve"> זמניים לקטינה עם אביה, ה</w:t>
      </w:r>
      <w:r>
        <w:rPr>
          <w:rFonts w:ascii="Arial" w:hAnsi="Arial" w:hint="cs"/>
          <w:rtl/>
        </w:rPr>
        <w:t>מ</w:t>
      </w:r>
      <w:r w:rsidR="00A44FF3">
        <w:rPr>
          <w:rFonts w:ascii="Arial" w:hAnsi="Arial" w:hint="cs"/>
          <w:rtl/>
        </w:rPr>
        <w:t>ב</w:t>
      </w:r>
      <w:r>
        <w:rPr>
          <w:rFonts w:ascii="Arial" w:hAnsi="Arial" w:hint="cs"/>
          <w:rtl/>
        </w:rPr>
        <w:t>קש.</w:t>
      </w:r>
    </w:p>
    <w:p w:rsidR="000F6110" w:rsidRPr="000F6110" w:rsidRDefault="000F6110" w:rsidP="000D6CDA">
      <w:pPr>
        <w:spacing w:after="120" w:line="360" w:lineRule="auto"/>
        <w:ind w:left="720" w:hanging="720"/>
        <w:jc w:val="both"/>
        <w:rPr>
          <w:rFonts w:ascii="David" w:hAnsi="David"/>
          <w:noProof w:val="0"/>
          <w:rtl/>
        </w:rPr>
      </w:pPr>
      <w:r>
        <w:rPr>
          <w:rFonts w:ascii="David" w:hAnsi="David"/>
          <w:noProof w:val="0"/>
          <w:rtl/>
        </w:rPr>
        <w:tab/>
      </w:r>
      <w:r w:rsidRPr="000F6110">
        <w:rPr>
          <w:rFonts w:ascii="David" w:hAnsi="David"/>
          <w:noProof w:val="0"/>
          <w:rtl/>
        </w:rPr>
        <w:t>הלכה פסוקה היא לענין מידת ההתערבות המצומצמת של ערכאת הערעור בהחלט</w:t>
      </w:r>
      <w:r>
        <w:rPr>
          <w:rFonts w:ascii="David" w:hAnsi="David"/>
          <w:noProof w:val="0"/>
          <w:rtl/>
        </w:rPr>
        <w:t>ה זמנית כגון דא</w:t>
      </w:r>
      <w:r w:rsidRPr="000F6110">
        <w:rPr>
          <w:rFonts w:ascii="David" w:hAnsi="David"/>
          <w:noProof w:val="0"/>
          <w:rtl/>
        </w:rPr>
        <w:t>, על-פיה רוחב שיקול הדעת המוענק לבית המשפט לענייני משפחה, בבואו לקבוע זמני שהות זמניים, עומד ביחס הפוך לצמצום שיקול הדעת של ערכאת הערעור.</w:t>
      </w:r>
    </w:p>
    <w:p w:rsidR="000F6110" w:rsidRPr="000F6110" w:rsidRDefault="000F6110" w:rsidP="000D6CDA">
      <w:pPr>
        <w:spacing w:after="120" w:line="360" w:lineRule="auto"/>
        <w:ind w:left="720" w:hanging="720"/>
        <w:jc w:val="both"/>
        <w:rPr>
          <w:rFonts w:ascii="David" w:hAnsi="David"/>
          <w:noProof w:val="0"/>
          <w:rtl/>
        </w:rPr>
      </w:pPr>
      <w:r w:rsidRPr="000F6110">
        <w:rPr>
          <w:rFonts w:ascii="David" w:hAnsi="David"/>
          <w:noProof w:val="0"/>
          <w:rtl/>
        </w:rPr>
        <w:lastRenderedPageBreak/>
        <w:t xml:space="preserve">          </w:t>
      </w:r>
      <w:r>
        <w:rPr>
          <w:rFonts w:ascii="David" w:hAnsi="David"/>
          <w:noProof w:val="0"/>
          <w:rtl/>
        </w:rPr>
        <w:tab/>
      </w:r>
      <w:r w:rsidRPr="000F6110">
        <w:rPr>
          <w:rFonts w:ascii="David" w:hAnsi="David"/>
          <w:noProof w:val="0"/>
          <w:rtl/>
        </w:rPr>
        <w:t>ההכרעה של בית המשפט לענייני משפחה על אודות זמני שהות זמניים, חייבת להיות מהירה, עניינית, ומטבעה נשענת על תמונה חלקית.</w:t>
      </w:r>
    </w:p>
    <w:p w:rsidR="000F6110" w:rsidRPr="000F6110" w:rsidRDefault="000F6110" w:rsidP="000F6110">
      <w:pPr>
        <w:spacing w:after="120" w:line="360" w:lineRule="auto"/>
        <w:ind w:left="720" w:hanging="720"/>
        <w:jc w:val="both"/>
        <w:rPr>
          <w:rFonts w:ascii="David" w:hAnsi="David"/>
          <w:noProof w:val="0"/>
          <w:rtl/>
        </w:rPr>
      </w:pPr>
      <w:r w:rsidRPr="000F6110">
        <w:rPr>
          <w:rFonts w:ascii="David" w:hAnsi="David"/>
          <w:noProof w:val="0"/>
          <w:rtl/>
        </w:rPr>
        <w:t xml:space="preserve">            </w:t>
      </w:r>
      <w:r>
        <w:rPr>
          <w:rFonts w:ascii="David" w:hAnsi="David"/>
          <w:noProof w:val="0"/>
          <w:rtl/>
        </w:rPr>
        <w:tab/>
      </w:r>
      <w:r w:rsidRPr="000F6110">
        <w:rPr>
          <w:rFonts w:ascii="David" w:hAnsi="David"/>
          <w:noProof w:val="0"/>
          <w:rtl/>
        </w:rPr>
        <w:t xml:space="preserve">התוצאה היא, כי קביעת בית המשפט קמא בנושא זמני שהות זמניים ניזונה מממצאים עובדתיים חלקיים. הגבלה זו תורמת לריסון שעל ערכאת הערעור לנקוט בבואה לבקר החלטת הערכאה המבררת, ותעשה כן רק במקרה חריג.           </w:t>
      </w:r>
    </w:p>
    <w:p w:rsidR="000F6110" w:rsidRPr="000F6110" w:rsidRDefault="000F6110" w:rsidP="000F6110">
      <w:pPr>
        <w:spacing w:after="120" w:line="360" w:lineRule="auto"/>
        <w:ind w:left="720" w:hanging="720"/>
        <w:jc w:val="both"/>
        <w:rPr>
          <w:rFonts w:ascii="David" w:hAnsi="David"/>
          <w:noProof w:val="0"/>
          <w:rtl/>
        </w:rPr>
      </w:pPr>
      <w:r w:rsidRPr="000F6110">
        <w:rPr>
          <w:rFonts w:ascii="David" w:hAnsi="David"/>
          <w:noProof w:val="0"/>
          <w:rtl/>
        </w:rPr>
        <w:t xml:space="preserve">          </w:t>
      </w:r>
      <w:r>
        <w:rPr>
          <w:rFonts w:ascii="David" w:hAnsi="David"/>
          <w:noProof w:val="0"/>
          <w:rtl/>
        </w:rPr>
        <w:tab/>
      </w:r>
      <w:r w:rsidRPr="000F6110">
        <w:rPr>
          <w:rFonts w:ascii="David" w:hAnsi="David"/>
          <w:b/>
          <w:bCs/>
          <w:noProof w:val="0"/>
          <w:u w:val="single"/>
          <w:rtl/>
        </w:rPr>
        <w:t>לעניין זה ראה</w:t>
      </w:r>
      <w:r w:rsidRPr="000F6110">
        <w:rPr>
          <w:rFonts w:ascii="David" w:hAnsi="David"/>
          <w:noProof w:val="0"/>
          <w:rtl/>
        </w:rPr>
        <w:t>:</w:t>
      </w:r>
    </w:p>
    <w:p w:rsidR="000F6110" w:rsidRPr="000F6110" w:rsidRDefault="000F6110" w:rsidP="000F6110">
      <w:pPr>
        <w:spacing w:after="120" w:line="360" w:lineRule="auto"/>
        <w:ind w:left="720" w:hanging="720"/>
        <w:jc w:val="both"/>
        <w:rPr>
          <w:rFonts w:ascii="David" w:hAnsi="David"/>
          <w:noProof w:val="0"/>
          <w:rtl/>
        </w:rPr>
      </w:pPr>
      <w:r>
        <w:rPr>
          <w:rFonts w:ascii="David" w:hAnsi="David"/>
          <w:noProof w:val="0"/>
          <w:rtl/>
        </w:rPr>
        <w:tab/>
      </w:r>
      <w:r w:rsidRPr="000F6110">
        <w:rPr>
          <w:rFonts w:ascii="David" w:hAnsi="David"/>
          <w:noProof w:val="0"/>
          <w:rtl/>
        </w:rPr>
        <w:t>בע"מ 4400/22 ‏פלונית נ' פלונית (ניתן ביום 11.7.22).</w:t>
      </w:r>
    </w:p>
    <w:p w:rsidR="000F6110" w:rsidRPr="000F6110" w:rsidRDefault="000F6110" w:rsidP="000F6110">
      <w:pPr>
        <w:spacing w:after="120" w:line="360" w:lineRule="auto"/>
        <w:ind w:left="720" w:hanging="720"/>
        <w:jc w:val="both"/>
        <w:rPr>
          <w:rFonts w:ascii="David" w:hAnsi="David"/>
          <w:noProof w:val="0"/>
          <w:rtl/>
        </w:rPr>
      </w:pPr>
      <w:r>
        <w:rPr>
          <w:rFonts w:ascii="David" w:hAnsi="David"/>
          <w:noProof w:val="0"/>
          <w:rtl/>
        </w:rPr>
        <w:tab/>
      </w:r>
      <w:r w:rsidRPr="000F6110">
        <w:rPr>
          <w:rFonts w:ascii="David" w:hAnsi="David"/>
          <w:noProof w:val="0"/>
          <w:rtl/>
        </w:rPr>
        <w:t>בע"מ 6778/22 פלונית נ' פלוני (ניתן ביום 24.10.22).</w:t>
      </w:r>
    </w:p>
    <w:p w:rsidR="000F6110" w:rsidRPr="000F6110" w:rsidRDefault="000F6110" w:rsidP="000F6110">
      <w:pPr>
        <w:spacing w:after="120" w:line="360" w:lineRule="auto"/>
        <w:ind w:left="720" w:hanging="720"/>
        <w:jc w:val="both"/>
        <w:rPr>
          <w:rFonts w:ascii="David" w:hAnsi="David"/>
          <w:b/>
          <w:bCs/>
          <w:noProof w:val="0"/>
          <w:rtl/>
        </w:rPr>
      </w:pPr>
      <w:r>
        <w:rPr>
          <w:rFonts w:ascii="David" w:hAnsi="David"/>
          <w:noProof w:val="0"/>
          <w:rtl/>
        </w:rPr>
        <w:tab/>
      </w:r>
      <w:r w:rsidRPr="000F6110">
        <w:rPr>
          <w:rFonts w:ascii="David" w:hAnsi="David"/>
          <w:b/>
          <w:bCs/>
          <w:noProof w:val="0"/>
          <w:rtl/>
        </w:rPr>
        <w:t>לא מצאתי כי המקרה דנן נופל בגדר אותם מקרים חריגים.</w:t>
      </w:r>
    </w:p>
    <w:p w:rsidR="000F6110" w:rsidRPr="000F6110" w:rsidRDefault="000F6110" w:rsidP="000F6110">
      <w:pPr>
        <w:spacing w:after="120" w:line="360" w:lineRule="auto"/>
        <w:ind w:left="720" w:hanging="720"/>
        <w:jc w:val="both"/>
        <w:rPr>
          <w:rFonts w:ascii="David" w:hAnsi="David"/>
          <w:noProof w:val="0"/>
          <w:rtl/>
        </w:rPr>
      </w:pPr>
      <w:r>
        <w:rPr>
          <w:rFonts w:ascii="David" w:hAnsi="David"/>
          <w:noProof w:val="0"/>
          <w:rtl/>
        </w:rPr>
        <w:t xml:space="preserve">11.      </w:t>
      </w:r>
      <w:r>
        <w:rPr>
          <w:rFonts w:ascii="David" w:hAnsi="David"/>
          <w:noProof w:val="0"/>
          <w:rtl/>
        </w:rPr>
        <w:tab/>
      </w:r>
      <w:r w:rsidRPr="000F6110">
        <w:rPr>
          <w:rFonts w:ascii="David" w:hAnsi="David"/>
          <w:noProof w:val="0"/>
          <w:rtl/>
        </w:rPr>
        <w:t xml:space="preserve">בנסיבות המקרה דנן לא מצאתי כי בהחלטת בית משפט קמא, במסגרתה קבע זמני שהות </w:t>
      </w:r>
      <w:r>
        <w:rPr>
          <w:rFonts w:ascii="David" w:hAnsi="David" w:hint="cs"/>
          <w:noProof w:val="0"/>
          <w:rtl/>
        </w:rPr>
        <w:t>זמניים</w:t>
      </w:r>
      <w:r>
        <w:rPr>
          <w:rFonts w:ascii="David" w:hAnsi="David"/>
          <w:noProof w:val="0"/>
          <w:rtl/>
        </w:rPr>
        <w:t xml:space="preserve"> של הקט</w:t>
      </w:r>
      <w:r>
        <w:rPr>
          <w:rFonts w:ascii="David" w:hAnsi="David" w:hint="cs"/>
          <w:noProof w:val="0"/>
          <w:rtl/>
        </w:rPr>
        <w:t>ינה</w:t>
      </w:r>
      <w:r>
        <w:rPr>
          <w:rFonts w:ascii="David" w:hAnsi="David"/>
          <w:noProof w:val="0"/>
          <w:rtl/>
        </w:rPr>
        <w:t xml:space="preserve"> עם אבי</w:t>
      </w:r>
      <w:r>
        <w:rPr>
          <w:rFonts w:ascii="David" w:hAnsi="David" w:hint="cs"/>
          <w:noProof w:val="0"/>
          <w:rtl/>
        </w:rPr>
        <w:t>ה</w:t>
      </w:r>
      <w:r w:rsidRPr="000F6110">
        <w:rPr>
          <w:rFonts w:ascii="David" w:hAnsi="David"/>
          <w:noProof w:val="0"/>
          <w:rtl/>
        </w:rPr>
        <w:t xml:space="preserve"> המבקש, יש טעות המחייבת כבר בשלב זה את התערבות ערכאת הערעור.</w:t>
      </w:r>
    </w:p>
    <w:p w:rsidR="000F6110" w:rsidRPr="000F6110" w:rsidRDefault="000F6110" w:rsidP="00597246">
      <w:pPr>
        <w:spacing w:after="120" w:line="360" w:lineRule="auto"/>
        <w:ind w:left="720" w:hanging="720"/>
        <w:jc w:val="both"/>
        <w:rPr>
          <w:rFonts w:ascii="David" w:hAnsi="David"/>
          <w:noProof w:val="0"/>
          <w:rtl/>
        </w:rPr>
      </w:pPr>
      <w:r w:rsidRPr="000F6110">
        <w:rPr>
          <w:rFonts w:ascii="David" w:hAnsi="David"/>
          <w:noProof w:val="0"/>
          <w:rtl/>
        </w:rPr>
        <w:t xml:space="preserve">         </w:t>
      </w:r>
      <w:r>
        <w:rPr>
          <w:rFonts w:ascii="David" w:hAnsi="David"/>
          <w:noProof w:val="0"/>
          <w:rtl/>
        </w:rPr>
        <w:tab/>
      </w:r>
      <w:r w:rsidRPr="000F6110">
        <w:rPr>
          <w:rFonts w:ascii="David" w:hAnsi="David"/>
          <w:noProof w:val="0"/>
          <w:rtl/>
        </w:rPr>
        <w:t xml:space="preserve">כפי שצוין בהחלטה קמא, </w:t>
      </w:r>
      <w:r>
        <w:rPr>
          <w:rFonts w:ascii="David" w:hAnsi="David" w:hint="cs"/>
          <w:noProof w:val="0"/>
          <w:rtl/>
        </w:rPr>
        <w:t xml:space="preserve">מדובר בזמני שהות זמניים בלבד, עד </w:t>
      </w:r>
      <w:r w:rsidR="00597246">
        <w:rPr>
          <w:rFonts w:ascii="David" w:hAnsi="David" w:hint="cs"/>
          <w:noProof w:val="0"/>
          <w:rtl/>
        </w:rPr>
        <w:t>קבלת תסקיר הרווחה שהורה עליו בהחלטה קמא, וקיום ה</w:t>
      </w:r>
      <w:r>
        <w:rPr>
          <w:rFonts w:ascii="David" w:hAnsi="David" w:hint="cs"/>
          <w:noProof w:val="0"/>
          <w:rtl/>
        </w:rPr>
        <w:t xml:space="preserve">דיון בתיק קמא שנקבע ליום </w:t>
      </w:r>
      <w:r w:rsidR="000D6CDA">
        <w:rPr>
          <w:rFonts w:ascii="David" w:hAnsi="David" w:hint="cs"/>
          <w:noProof w:val="0"/>
          <w:rtl/>
        </w:rPr>
        <w:t>23.1.25,</w:t>
      </w:r>
      <w:r w:rsidR="008216D6">
        <w:rPr>
          <w:rFonts w:ascii="David" w:hAnsi="David" w:hint="cs"/>
          <w:noProof w:val="0"/>
          <w:rtl/>
        </w:rPr>
        <w:t xml:space="preserve"> בעוד כשלושה חודשים, שהינו זמן קצר.</w:t>
      </w:r>
    </w:p>
    <w:p w:rsidR="000F6110" w:rsidRDefault="000F6110" w:rsidP="00A44FF3">
      <w:pPr>
        <w:spacing w:after="120" w:line="360" w:lineRule="auto"/>
        <w:ind w:left="720" w:hanging="720"/>
        <w:jc w:val="both"/>
        <w:rPr>
          <w:rFonts w:ascii="David" w:hAnsi="David"/>
          <w:noProof w:val="0"/>
          <w:rtl/>
        </w:rPr>
      </w:pPr>
      <w:r w:rsidRPr="000F6110">
        <w:rPr>
          <w:rFonts w:ascii="David" w:hAnsi="David"/>
          <w:noProof w:val="0"/>
          <w:rtl/>
        </w:rPr>
        <w:t xml:space="preserve">12.        עוד הלין המבקש, כי בית משפט קמא נמנע מלנמק את החלטתו </w:t>
      </w:r>
      <w:r>
        <w:rPr>
          <w:rFonts w:ascii="David" w:hAnsi="David" w:hint="cs"/>
          <w:noProof w:val="0"/>
          <w:rtl/>
        </w:rPr>
        <w:t>קמא</w:t>
      </w:r>
      <w:r w:rsidRPr="000F6110">
        <w:rPr>
          <w:rFonts w:ascii="David" w:hAnsi="David"/>
          <w:noProof w:val="0"/>
          <w:rtl/>
        </w:rPr>
        <w:t>. אכן, היה עדיף לו היה מנמק בית משפט קמא ולו במעט את החלטתו הקצרה, אולם מעיון בתיק קמא</w:t>
      </w:r>
      <w:r w:rsidR="00A44FF3">
        <w:rPr>
          <w:rFonts w:ascii="David" w:hAnsi="David" w:hint="cs"/>
          <w:noProof w:val="0"/>
          <w:rtl/>
        </w:rPr>
        <w:t xml:space="preserve">, בבקשת המבקש </w:t>
      </w:r>
      <w:r>
        <w:rPr>
          <w:rFonts w:ascii="David" w:hAnsi="David" w:hint="cs"/>
          <w:noProof w:val="0"/>
          <w:rtl/>
        </w:rPr>
        <w:t>ובתגובות</w:t>
      </w:r>
      <w:r w:rsidR="00A44FF3">
        <w:rPr>
          <w:rFonts w:ascii="David" w:hAnsi="David" w:hint="cs"/>
          <w:noProof w:val="0"/>
          <w:rtl/>
        </w:rPr>
        <w:t xml:space="preserve"> והתשובות שהוגשו בעניינה על ידי שני הצדדים,</w:t>
      </w:r>
      <w:r w:rsidRPr="000F6110">
        <w:rPr>
          <w:rFonts w:ascii="David" w:hAnsi="David"/>
          <w:noProof w:val="0"/>
          <w:rtl/>
        </w:rPr>
        <w:t xml:space="preserve"> ניתן לקשור בין ההחלטה על </w:t>
      </w:r>
      <w:r>
        <w:rPr>
          <w:rFonts w:ascii="David" w:hAnsi="David" w:hint="cs"/>
          <w:noProof w:val="0"/>
          <w:rtl/>
        </w:rPr>
        <w:t xml:space="preserve">זמני השהות הזמניים לבין עמדת האם, המשיבה, כפי שהובאה </w:t>
      </w:r>
      <w:r w:rsidRPr="00D106EA">
        <w:rPr>
          <w:rFonts w:ascii="David" w:hAnsi="David" w:hint="cs"/>
          <w:noProof w:val="0"/>
          <w:rtl/>
        </w:rPr>
        <w:t>בתגובתה מיום</w:t>
      </w:r>
      <w:r w:rsidR="00A44FF3" w:rsidRPr="00D106EA">
        <w:rPr>
          <w:rFonts w:ascii="David" w:hAnsi="David" w:hint="cs"/>
          <w:noProof w:val="0"/>
          <w:rtl/>
        </w:rPr>
        <w:t xml:space="preserve"> 9.10.24.</w:t>
      </w:r>
    </w:p>
    <w:p w:rsidR="000F6110" w:rsidRPr="000D6CDA" w:rsidRDefault="000F6110" w:rsidP="00AF1A8E">
      <w:pPr>
        <w:spacing w:after="120" w:line="360" w:lineRule="auto"/>
        <w:ind w:left="720" w:hanging="720"/>
        <w:jc w:val="both"/>
        <w:rPr>
          <w:rFonts w:ascii="David" w:hAnsi="David"/>
          <w:noProof w:val="0"/>
          <w:rtl/>
        </w:rPr>
      </w:pPr>
      <w:r>
        <w:rPr>
          <w:rFonts w:ascii="David" w:hAnsi="David"/>
          <w:noProof w:val="0"/>
          <w:rtl/>
        </w:rPr>
        <w:tab/>
      </w:r>
      <w:r w:rsidR="00A44FF3">
        <w:rPr>
          <w:rFonts w:ascii="David" w:hAnsi="David" w:hint="cs"/>
          <w:noProof w:val="0"/>
          <w:rtl/>
        </w:rPr>
        <w:t xml:space="preserve">במה דברים אמורים? </w:t>
      </w:r>
      <w:r>
        <w:rPr>
          <w:rFonts w:ascii="David" w:hAnsi="David" w:hint="cs"/>
          <w:noProof w:val="0"/>
          <w:rtl/>
        </w:rPr>
        <w:t xml:space="preserve">בתגובתה זו ציינה האם את זמני השהות המתקיימים כיום בין המבקש לקטינה, ואף </w:t>
      </w:r>
      <w:r w:rsidRPr="000F6110">
        <w:rPr>
          <w:rFonts w:ascii="David" w:hAnsi="David" w:hint="cs"/>
          <w:b/>
          <w:bCs/>
          <w:noProof w:val="0"/>
          <w:u w:val="single"/>
          <w:rtl/>
        </w:rPr>
        <w:t>צירפה אסמכתאות לכך</w:t>
      </w:r>
      <w:r>
        <w:rPr>
          <w:rFonts w:ascii="David" w:hAnsi="David" w:hint="cs"/>
          <w:noProof w:val="0"/>
          <w:rtl/>
        </w:rPr>
        <w:t xml:space="preserve"> (תמונות המתעדות את הקטינה ברשותה בימים הנטענים). </w:t>
      </w:r>
      <w:r w:rsidR="000015DE">
        <w:rPr>
          <w:rFonts w:ascii="David" w:hAnsi="David" w:hint="cs"/>
          <w:noProof w:val="0"/>
          <w:rtl/>
        </w:rPr>
        <w:t xml:space="preserve">בטוחני כי אף בית משפט קמא שם לבו </w:t>
      </w:r>
      <w:r w:rsidR="000015DE" w:rsidRPr="000D6CDA">
        <w:rPr>
          <w:rFonts w:ascii="David" w:hAnsi="David" w:hint="cs"/>
          <w:noProof w:val="0"/>
          <w:rtl/>
        </w:rPr>
        <w:t xml:space="preserve">לאסמכתאות אלה, </w:t>
      </w:r>
      <w:r w:rsidR="000D6CDA" w:rsidRPr="000D6CDA">
        <w:rPr>
          <w:rFonts w:ascii="David" w:hAnsi="David" w:hint="cs"/>
          <w:noProof w:val="0"/>
          <w:rtl/>
        </w:rPr>
        <w:t xml:space="preserve">ולכן פסק </w:t>
      </w:r>
      <w:r w:rsidR="000015DE" w:rsidRPr="000D6CDA">
        <w:rPr>
          <w:rFonts w:ascii="David" w:hAnsi="David" w:hint="cs"/>
          <w:noProof w:val="0"/>
          <w:rtl/>
        </w:rPr>
        <w:t>את החלטתו קמא בדב</w:t>
      </w:r>
      <w:r w:rsidR="000D6CDA" w:rsidRPr="000D6CDA">
        <w:rPr>
          <w:rFonts w:ascii="David" w:hAnsi="David" w:hint="cs"/>
          <w:noProof w:val="0"/>
          <w:rtl/>
        </w:rPr>
        <w:t>ר</w:t>
      </w:r>
      <w:r w:rsidR="00AF1A8E">
        <w:rPr>
          <w:rFonts w:ascii="David" w:hAnsi="David" w:hint="cs"/>
          <w:noProof w:val="0"/>
          <w:rtl/>
        </w:rPr>
        <w:t xml:space="preserve"> זמני השהות (הזמניים) של המבקש עם הקטינה בהתאם.</w:t>
      </w:r>
    </w:p>
    <w:p w:rsidR="000F6110" w:rsidRPr="000D6CDA" w:rsidRDefault="000F6110" w:rsidP="00AF1A8E">
      <w:pPr>
        <w:spacing w:after="120" w:line="360" w:lineRule="auto"/>
        <w:ind w:left="720" w:hanging="720"/>
        <w:jc w:val="both"/>
        <w:rPr>
          <w:rFonts w:ascii="David" w:hAnsi="David"/>
          <w:noProof w:val="0"/>
          <w:rtl/>
        </w:rPr>
      </w:pPr>
      <w:r w:rsidRPr="000D6CDA">
        <w:rPr>
          <w:rFonts w:ascii="David" w:hAnsi="David"/>
          <w:noProof w:val="0"/>
          <w:rtl/>
        </w:rPr>
        <w:tab/>
        <w:t xml:space="preserve">משכך </w:t>
      </w:r>
      <w:r w:rsidR="00AF1A8E">
        <w:rPr>
          <w:rFonts w:ascii="David" w:hAnsi="David" w:hint="cs"/>
          <w:noProof w:val="0"/>
          <w:rtl/>
        </w:rPr>
        <w:t xml:space="preserve">למרות </w:t>
      </w:r>
      <w:r w:rsidRPr="000D6CDA">
        <w:rPr>
          <w:rFonts w:ascii="David" w:hAnsi="David"/>
          <w:noProof w:val="0"/>
          <w:rtl/>
        </w:rPr>
        <w:t xml:space="preserve">טענה זאת של המבקש, לא מצאתי להתערב בשלב זה בקביעת זמני השהות </w:t>
      </w:r>
      <w:r w:rsidR="00AF1A8E">
        <w:rPr>
          <w:rFonts w:ascii="David" w:hAnsi="David" w:hint="cs"/>
          <w:noProof w:val="0"/>
          <w:rtl/>
        </w:rPr>
        <w:t>הזמניים</w:t>
      </w:r>
      <w:r w:rsidRPr="000D6CDA">
        <w:rPr>
          <w:rFonts w:ascii="David" w:hAnsi="David"/>
          <w:noProof w:val="0"/>
          <w:rtl/>
        </w:rPr>
        <w:t xml:space="preserve"> כפי שנפסקו במסגרת ההחלטות קמא.</w:t>
      </w:r>
    </w:p>
    <w:p w:rsidR="000015DE" w:rsidRDefault="000F6110" w:rsidP="000D6CDA">
      <w:pPr>
        <w:spacing w:after="120" w:line="360" w:lineRule="auto"/>
        <w:ind w:left="720" w:hanging="720"/>
        <w:jc w:val="both"/>
        <w:rPr>
          <w:rFonts w:ascii="David" w:hAnsi="David"/>
          <w:noProof w:val="0"/>
          <w:rtl/>
        </w:rPr>
      </w:pPr>
      <w:r w:rsidRPr="000D6CDA">
        <w:rPr>
          <w:rFonts w:ascii="David" w:hAnsi="David"/>
          <w:noProof w:val="0"/>
          <w:rtl/>
        </w:rPr>
        <w:t xml:space="preserve">13.        </w:t>
      </w:r>
      <w:r w:rsidR="000D6CDA">
        <w:rPr>
          <w:rFonts w:ascii="David" w:hAnsi="David"/>
          <w:noProof w:val="0"/>
          <w:rtl/>
        </w:rPr>
        <w:tab/>
      </w:r>
      <w:r w:rsidRPr="000D6CDA">
        <w:rPr>
          <w:rFonts w:ascii="David" w:hAnsi="David"/>
          <w:b/>
          <w:bCs/>
          <w:noProof w:val="0"/>
          <w:rtl/>
        </w:rPr>
        <w:t xml:space="preserve">לאור האמור לעיל – כשמדובר בהחלטה </w:t>
      </w:r>
      <w:r w:rsidR="000015DE" w:rsidRPr="000D6CDA">
        <w:rPr>
          <w:rFonts w:ascii="David" w:hAnsi="David" w:hint="cs"/>
          <w:b/>
          <w:bCs/>
          <w:noProof w:val="0"/>
          <w:rtl/>
        </w:rPr>
        <w:t>זמנית</w:t>
      </w:r>
      <w:r w:rsidRPr="000D6CDA">
        <w:rPr>
          <w:rFonts w:ascii="David" w:hAnsi="David"/>
          <w:b/>
          <w:bCs/>
          <w:noProof w:val="0"/>
          <w:rtl/>
        </w:rPr>
        <w:t xml:space="preserve"> בלבד, וכשלאחר קבלת </w:t>
      </w:r>
      <w:r w:rsidR="000D6CDA" w:rsidRPr="000D6CDA">
        <w:rPr>
          <w:rFonts w:ascii="David" w:hAnsi="David" w:hint="cs"/>
          <w:b/>
          <w:bCs/>
          <w:noProof w:val="0"/>
          <w:rtl/>
        </w:rPr>
        <w:t>תסקיר שירותי הרווחה וקיום דיון במעמד הצדדים</w:t>
      </w:r>
      <w:r w:rsidRPr="000D6CDA">
        <w:rPr>
          <w:rFonts w:ascii="David" w:hAnsi="David"/>
          <w:b/>
          <w:bCs/>
          <w:noProof w:val="0"/>
          <w:rtl/>
        </w:rPr>
        <w:t>, ייתן בית משפט קמא דעתו ב</w:t>
      </w:r>
      <w:r w:rsidR="000D6CDA" w:rsidRPr="000D6CDA">
        <w:rPr>
          <w:rFonts w:ascii="David" w:hAnsi="David"/>
          <w:b/>
          <w:bCs/>
          <w:noProof w:val="0"/>
          <w:rtl/>
        </w:rPr>
        <w:t>שנית בעניין זמני השהות הזמניים,</w:t>
      </w:r>
      <w:r w:rsidRPr="000D6CDA">
        <w:rPr>
          <w:rFonts w:ascii="David" w:hAnsi="David"/>
          <w:b/>
          <w:bCs/>
          <w:noProof w:val="0"/>
          <w:rtl/>
        </w:rPr>
        <w:t xml:space="preserve"> נ</w:t>
      </w:r>
      <w:r w:rsidR="00AF1A8E">
        <w:rPr>
          <w:rFonts w:ascii="David" w:hAnsi="David"/>
          <w:b/>
          <w:bCs/>
          <w:noProof w:val="0"/>
          <w:rtl/>
        </w:rPr>
        <w:t>חה דעתי שאין מקום להתערב בהחלט</w:t>
      </w:r>
      <w:r w:rsidR="00AF1A8E">
        <w:rPr>
          <w:rFonts w:ascii="David" w:hAnsi="David" w:hint="cs"/>
          <w:b/>
          <w:bCs/>
          <w:noProof w:val="0"/>
          <w:rtl/>
        </w:rPr>
        <w:t>ה</w:t>
      </w:r>
      <w:r w:rsidRPr="000D6CDA">
        <w:rPr>
          <w:rFonts w:ascii="David" w:hAnsi="David"/>
          <w:b/>
          <w:bCs/>
          <w:noProof w:val="0"/>
          <w:rtl/>
        </w:rPr>
        <w:t xml:space="preserve"> קמא</w:t>
      </w:r>
      <w:r w:rsidRPr="000D6CDA">
        <w:rPr>
          <w:rFonts w:ascii="David" w:hAnsi="David"/>
          <w:noProof w:val="0"/>
          <w:rtl/>
        </w:rPr>
        <w:t>.</w:t>
      </w:r>
    </w:p>
    <w:p w:rsidR="00353670" w:rsidRPr="000D6CDA" w:rsidRDefault="00AF1A8E" w:rsidP="00DA5246">
      <w:pPr>
        <w:spacing w:after="120" w:line="360" w:lineRule="auto"/>
        <w:ind w:left="720" w:hanging="720"/>
        <w:jc w:val="both"/>
        <w:rPr>
          <w:rFonts w:ascii="David" w:hAnsi="David"/>
          <w:noProof w:val="0"/>
          <w:rtl/>
        </w:rPr>
      </w:pPr>
      <w:r>
        <w:rPr>
          <w:rFonts w:ascii="David" w:hAnsi="David" w:hint="cs"/>
          <w:noProof w:val="0"/>
          <w:rtl/>
        </w:rPr>
        <w:t>14.</w:t>
      </w:r>
      <w:r>
        <w:rPr>
          <w:rFonts w:ascii="David" w:hAnsi="David" w:hint="cs"/>
          <w:noProof w:val="0"/>
          <w:rtl/>
        </w:rPr>
        <w:tab/>
        <w:t>בכל הקשור לטענ</w:t>
      </w:r>
      <w:r w:rsidR="00353670">
        <w:rPr>
          <w:rFonts w:ascii="David" w:hAnsi="David" w:hint="cs"/>
          <w:noProof w:val="0"/>
          <w:rtl/>
        </w:rPr>
        <w:t xml:space="preserve">ת המבקש בדבר היות הצדדים שומרי שבת ולפיכך ההוראה להשיב הקטינה לבית אמה במוצאי שבת עד שעה 19:30 לא מתיישבת עם אורחות חיי הצדדים </w:t>
      </w:r>
      <w:r w:rsidR="00353670">
        <w:rPr>
          <w:rFonts w:ascii="David" w:hAnsi="David"/>
          <w:noProof w:val="0"/>
          <w:rtl/>
        </w:rPr>
        <w:t>–</w:t>
      </w:r>
      <w:r w:rsidR="00353670">
        <w:rPr>
          <w:rFonts w:ascii="David" w:hAnsi="David" w:hint="cs"/>
          <w:noProof w:val="0"/>
          <w:rtl/>
        </w:rPr>
        <w:t xml:space="preserve"> יפנה המבקש בבקשה מתאימה לבית משפט קמא, שייתן </w:t>
      </w:r>
      <w:r w:rsidR="00DA5246">
        <w:rPr>
          <w:rFonts w:ascii="David" w:hAnsi="David" w:hint="cs"/>
          <w:noProof w:val="0"/>
          <w:rtl/>
        </w:rPr>
        <w:t>בנקודה מסוימת זו</w:t>
      </w:r>
      <w:r w:rsidR="00353670">
        <w:rPr>
          <w:rFonts w:ascii="David" w:hAnsi="David" w:hint="cs"/>
          <w:noProof w:val="0"/>
          <w:rtl/>
        </w:rPr>
        <w:t xml:space="preserve"> את דעתו</w:t>
      </w:r>
      <w:r w:rsidR="00DA5246">
        <w:rPr>
          <w:rFonts w:ascii="David" w:hAnsi="David" w:hint="cs"/>
          <w:noProof w:val="0"/>
          <w:rtl/>
        </w:rPr>
        <w:t>, לאחר קבלת עמדת המשיבה בעניין</w:t>
      </w:r>
      <w:r w:rsidR="00353670">
        <w:rPr>
          <w:rFonts w:ascii="David" w:hAnsi="David" w:hint="cs"/>
          <w:noProof w:val="0"/>
          <w:rtl/>
        </w:rPr>
        <w:t>.</w:t>
      </w:r>
    </w:p>
    <w:p w:rsidR="000D6CDA" w:rsidRDefault="000D6CDA" w:rsidP="000F6110">
      <w:pPr>
        <w:spacing w:after="120" w:line="360" w:lineRule="auto"/>
        <w:rPr>
          <w:rFonts w:ascii="David" w:hAnsi="David"/>
          <w:noProof w:val="0"/>
          <w:rtl/>
        </w:rPr>
      </w:pPr>
    </w:p>
    <w:p w:rsidR="000F6110" w:rsidRDefault="000F6110" w:rsidP="000F6110">
      <w:pPr>
        <w:spacing w:after="120" w:line="360" w:lineRule="auto"/>
        <w:rPr>
          <w:rFonts w:ascii="Arial" w:hAnsi="Arial"/>
          <w:b/>
          <w:bCs/>
          <w:u w:val="single"/>
          <w:rtl/>
        </w:rPr>
      </w:pPr>
      <w:r>
        <w:rPr>
          <w:rFonts w:ascii="Arial" w:hAnsi="Arial"/>
          <w:b/>
          <w:bCs/>
          <w:u w:val="single"/>
          <w:rtl/>
        </w:rPr>
        <w:lastRenderedPageBreak/>
        <w:t>סוף דבר</w:t>
      </w:r>
    </w:p>
    <w:p w:rsidR="000F6110" w:rsidRDefault="00DA5246" w:rsidP="000F6110">
      <w:pPr>
        <w:spacing w:after="120" w:line="360" w:lineRule="auto"/>
        <w:rPr>
          <w:rFonts w:ascii="Arial" w:hAnsi="Arial"/>
          <w:rtl/>
        </w:rPr>
      </w:pPr>
      <w:r>
        <w:rPr>
          <w:rFonts w:ascii="Arial" w:hAnsi="Arial" w:hint="cs"/>
          <w:rtl/>
        </w:rPr>
        <w:t>15</w:t>
      </w:r>
      <w:r w:rsidR="000F6110">
        <w:rPr>
          <w:rFonts w:ascii="Arial" w:hAnsi="Arial"/>
          <w:rtl/>
        </w:rPr>
        <w:t>.</w:t>
      </w:r>
      <w:r w:rsidR="000F6110">
        <w:rPr>
          <w:rFonts w:ascii="Arial" w:hAnsi="Arial"/>
          <w:rtl/>
        </w:rPr>
        <w:tab/>
      </w:r>
      <w:r w:rsidR="000F6110">
        <w:rPr>
          <w:rFonts w:ascii="Arial" w:hAnsi="Arial"/>
          <w:b/>
          <w:bCs/>
          <w:rtl/>
        </w:rPr>
        <w:t>לאור כל האמור לעיל אני מורה על דחיית בקשת רשות הערעור.</w:t>
      </w:r>
    </w:p>
    <w:p w:rsidR="000F6110" w:rsidRDefault="00DA5246" w:rsidP="000F6110">
      <w:pPr>
        <w:spacing w:after="120" w:line="360" w:lineRule="auto"/>
        <w:ind w:left="720" w:hanging="720"/>
        <w:jc w:val="both"/>
        <w:rPr>
          <w:rFonts w:ascii="Arial" w:hAnsi="Arial"/>
          <w:b/>
          <w:bCs/>
          <w:noProof w:val="0"/>
          <w:rtl/>
        </w:rPr>
      </w:pPr>
      <w:r>
        <w:rPr>
          <w:rFonts w:ascii="Arial" w:hAnsi="Arial" w:hint="cs"/>
          <w:rtl/>
        </w:rPr>
        <w:t>16</w:t>
      </w:r>
      <w:r w:rsidR="000F6110">
        <w:rPr>
          <w:rFonts w:ascii="Arial" w:hAnsi="Arial"/>
          <w:rtl/>
        </w:rPr>
        <w:t>.</w:t>
      </w:r>
      <w:r w:rsidR="000F6110">
        <w:rPr>
          <w:rFonts w:ascii="Arial" w:hAnsi="Arial"/>
          <w:rtl/>
        </w:rPr>
        <w:tab/>
        <w:t>משלא התבקשה תשובה, אין צו להוצאות.</w:t>
      </w:r>
      <w:r w:rsidR="000F6110">
        <w:rPr>
          <w:rFonts w:ascii="Arial" w:hAnsi="Arial"/>
          <w:noProof w:val="0"/>
          <w:rtl/>
        </w:rPr>
        <w:t xml:space="preserve"> </w:t>
      </w:r>
    </w:p>
    <w:p w:rsidR="000F6110" w:rsidRPr="000F6110" w:rsidRDefault="000F6110" w:rsidP="000F6110">
      <w:pPr>
        <w:spacing w:after="120" w:line="360" w:lineRule="auto"/>
        <w:ind w:left="720" w:hanging="720"/>
        <w:jc w:val="both"/>
        <w:rPr>
          <w:rFonts w:ascii="Arial" w:hAnsi="Arial"/>
          <w:noProof w:val="0"/>
          <w:rtl/>
        </w:rPr>
      </w:pPr>
      <w:r>
        <w:rPr>
          <w:rFonts w:ascii="Arial" w:hAnsi="Arial"/>
          <w:b/>
          <w:bCs/>
          <w:noProof w:val="0"/>
          <w:rtl/>
        </w:rPr>
        <w:tab/>
      </w:r>
      <w:r w:rsidRPr="000F6110">
        <w:rPr>
          <w:rFonts w:ascii="Arial" w:hAnsi="Arial" w:hint="cs"/>
          <w:noProof w:val="0"/>
          <w:rtl/>
        </w:rPr>
        <w:t>עירבון שהפקיד המבקש יוחזר לו באמצעות באת כוחו.</w:t>
      </w:r>
    </w:p>
    <w:p w:rsidR="000F6110" w:rsidRDefault="000F6110" w:rsidP="000F6110">
      <w:pPr>
        <w:spacing w:after="120" w:line="360" w:lineRule="auto"/>
        <w:ind w:left="720" w:hanging="720"/>
        <w:jc w:val="both"/>
        <w:rPr>
          <w:rFonts w:ascii="Arial" w:hAnsi="Arial"/>
          <w:b/>
          <w:bCs/>
          <w:noProof w:val="0"/>
          <w:rtl/>
        </w:rPr>
      </w:pPr>
    </w:p>
    <w:p w:rsidR="000F6110" w:rsidRPr="00B95D6E" w:rsidRDefault="000F6110" w:rsidP="000F6110">
      <w:pPr>
        <w:spacing w:after="120" w:line="360" w:lineRule="auto"/>
        <w:jc w:val="both"/>
        <w:rPr>
          <w:rFonts w:ascii="Arial" w:hAnsi="Arial"/>
          <w:noProof w:val="0"/>
          <w:rtl/>
        </w:rPr>
      </w:pPr>
      <w:r>
        <w:rPr>
          <w:rFonts w:ascii="Arial" w:hAnsi="Arial"/>
          <w:b/>
          <w:bCs/>
          <w:noProof w:val="0"/>
          <w:rtl/>
        </w:rPr>
        <w:t>החלטה זאת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אוקטובר 2024</w:t>
          </w:r>
        </w:sdtContent>
      </w:sdt>
      <w:r w:rsidR="00005C8B">
        <w:rPr>
          <w:rFonts w:ascii="Arial" w:hAnsi="Arial"/>
          <w:noProof w:val="0"/>
          <w:rtl/>
        </w:rPr>
        <w:t>, בהעדר הצדדים.</w:t>
      </w:r>
    </w:p>
    <w:p w:rsidR="00C43648" w:rsidRDefault="003053B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74079333"/>
        </w:sdtPr>
        <w:sdtEndPr/>
        <w:sdtContent>
          <w:r w:rsidR="00433189">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0261E">
      <w:headerReference w:type="even" r:id="rId11"/>
      <w:headerReference w:type="default" r:id="rId12"/>
      <w:footerReference w:type="even" r:id="rId13"/>
      <w:footerReference w:type="default" r:id="rId14"/>
      <w:headerReference w:type="first" r:id="rId15"/>
      <w:footerReference w:type="first" r:id="rId16"/>
      <w:pgSz w:w="11907" w:h="16840" w:code="9"/>
      <w:pgMar w:top="1440" w:right="1134"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3B4" w:rsidRDefault="003053B4">
      <w:r>
        <w:separator/>
      </w:r>
    </w:p>
  </w:endnote>
  <w:endnote w:type="continuationSeparator" w:id="0">
    <w:p w:rsidR="003053B4" w:rsidRDefault="00305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B0A" w:rsidRDefault="004C1B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FA34BB">
      <w:rPr>
        <w:rStyle w:val="ab"/>
        <w:rFonts w:ascii="David" w:hAnsi="David"/>
        <w:rtl/>
      </w:rPr>
      <w:t>5</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FA34BB">
      <w:rPr>
        <w:rStyle w:val="ab"/>
        <w:rFonts w:ascii="David" w:hAnsi="David"/>
        <w:rtl/>
      </w:rPr>
      <w:t>5</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B0A" w:rsidRDefault="004C1B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3B4" w:rsidRDefault="003053B4">
      <w:r>
        <w:separator/>
      </w:r>
    </w:p>
  </w:footnote>
  <w:footnote w:type="continuationSeparator" w:id="0">
    <w:p w:rsidR="003053B4" w:rsidRDefault="00305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B0A" w:rsidRDefault="004C1B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053B4" w:rsidP="00C037F6">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46850-10-24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C037F6">
                <w:rPr>
                  <w:rFonts w:hint="cs"/>
                  <w:b/>
                  <w:bCs/>
                  <w:noProof w:val="0"/>
                  <w:sz w:val="26"/>
                  <w:szCs w:val="26"/>
                  <w:rtl/>
                </w:rPr>
                <w:t>י'</w:t>
              </w:r>
              <w:r w:rsidR="00C037F6">
                <w:rPr>
                  <w:b/>
                  <w:bCs/>
                  <w:noProof w:val="0"/>
                  <w:sz w:val="26"/>
                  <w:szCs w:val="26"/>
                  <w:rtl/>
                </w:rPr>
                <w:t xml:space="preserve"> נ' י</w:t>
              </w:r>
              <w:r w:rsidR="00C037F6">
                <w:rPr>
                  <w:rFonts w:hint="cs"/>
                  <w:b/>
                  <w:bCs/>
                  <w:noProof w:val="0"/>
                  <w:sz w:val="26"/>
                  <w:szCs w:val="26"/>
                  <w:rtl/>
                </w:rPr>
                <w:t>'</w:t>
              </w:r>
            </w:sdtContent>
          </w:sdt>
          <w:r w:rsidR="00CD516B">
            <w:rPr>
              <w:b/>
              <w:bCs/>
              <w:noProof w:val="0"/>
              <w:sz w:val="26"/>
              <w:szCs w:val="26"/>
              <w:rtl/>
            </w:rPr>
            <w:t xml:space="preserve"> </w:t>
          </w: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B0A" w:rsidRDefault="004C1B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A649E"/>
    <w:multiLevelType w:val="hybridMultilevel"/>
    <w:tmpl w:val="7AE29204"/>
    <w:lvl w:ilvl="0" w:tplc="26EA312C">
      <w:start w:val="1"/>
      <w:numFmt w:val="hebrew1"/>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4BCA5861"/>
    <w:multiLevelType w:val="hybridMultilevel"/>
    <w:tmpl w:val="0FD473E0"/>
    <w:lvl w:ilvl="0" w:tplc="0409000F">
      <w:start w:val="1"/>
      <w:numFmt w:val="decimal"/>
      <w:lvlText w:val="%1."/>
      <w:lvlJc w:val="left"/>
      <w:pPr>
        <w:ind w:left="927"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B420D26"/>
    <w:multiLevelType w:val="hybridMultilevel"/>
    <w:tmpl w:val="30EE89C8"/>
    <w:lvl w:ilvl="0" w:tplc="F1F2723E">
      <w:start w:val="1"/>
      <w:numFmt w:val="decimal"/>
      <w:lvlText w:val="%1."/>
      <w:lvlJc w:val="left"/>
      <w:pPr>
        <w:ind w:left="1352" w:hanging="360"/>
      </w:p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633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63377&amp;lt;/CaseID&amp;gt;_x000d__x000a_        &amp;lt;CaseMonth&amp;gt;10&amp;lt;/CaseMonth&amp;gt;_x000d__x000a_        &amp;lt;CaseYear&amp;gt;2024&amp;lt;/CaseYear&amp;gt;_x000d__x000a_        &amp;lt;CaseNumber&amp;gt;46850&amp;lt;/CaseNumber&amp;gt;_x000d__x000a_        &amp;lt;NumeratorGroupID&amp;gt;1&amp;lt;/NumeratorGroupID&amp;gt;_x000d__x000a_        &amp;lt;CaseName&amp;gt;יקיר נ&amp;#39; יקיר&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6850-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0-27T12:40: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שלח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63377&amp;lt;/CaseID&amp;gt;_x000d__x000a_        &amp;lt;CaseMonth&amp;gt;10&amp;lt;/CaseMonth&amp;gt;_x000d__x000a_        &amp;lt;CaseYear&amp;gt;2024&amp;lt;/CaseYear&amp;gt;_x000d__x000a_        &amp;lt;CaseNumber&amp;gt;46850&amp;lt;/CaseNumber&amp;gt;_x000d__x000a_        &amp;lt;NumeratorGroupID&amp;gt;1&amp;lt;/NumeratorGroupID&amp;gt;_x000d__x000a_        &amp;lt;CaseName&amp;gt;יקיר נ&amp;#39; יקיר&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6850-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10-27T12:40: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שלח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66143&amp;lt;/DecisionID&amp;gt;_x000d__x000a_        &amp;lt;DecisionName&amp;gt;החלטה  שניתנה ע&amp;quot;י  חננאל שרעבי&amp;lt;/DecisionName&amp;gt;_x000d__x000a_        &amp;lt;DecisionStatusID&amp;gt;1&amp;lt;/DecisionStatusID&amp;gt;_x000d__x000a_        &amp;lt;DecisionStatusChangeDate&amp;gt;2024-10-29T11:06:04.377+02:00&amp;lt;/DecisionStatusChangeDate&amp;gt;_x000d__x000a_        &amp;lt;DecisionSignatureDate&amp;gt;2024-10-29T09:39:12.997+02:00&amp;lt;/DecisionSignatureDate&amp;gt;_x000d__x000a_        &amp;lt;DecisionSignatureUserID&amp;gt;056479827@GOV.IL&amp;lt;/DecisionSignatureUserID&amp;gt;_x000d__x000a_        &amp;lt;DecisionCreateDate&amp;gt;2024-10-29T09:41:29.613+02:00&amp;lt;/DecisionCreateDate&amp;gt;_x000d__x000a_        &amp;lt;DecisionChangeDate&amp;gt;2024-10-29T11:06:04.463+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87930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666143&amp;lt;/DecisionID&amp;gt;_x000d__x000a_        &amp;lt;CaseID&amp;gt;82063377&amp;lt;/CaseID&amp;gt;_x000d__x000a_        &amp;lt;IsOriginal&amp;gt;true&amp;lt;/IsOriginal&amp;gt;_x000d__x000a_        &amp;lt;IsDeleted&amp;gt;false&amp;lt;/IsDeleted&amp;gt;_x000d__x000a_        &amp;lt;CaseName&amp;gt;יקיר נ&amp;#39; יקיר&amp;lt;/CaseName&amp;gt;_x000d__x000a_        &amp;lt;CaseDisplayIdentifier&amp;gt;46850-10-24 רמ&amp;quot;ש&amp;lt;/CaseDisplayIdentifier&amp;gt;_x000d__x000a_      &amp;lt;/dt_DecisionCase&amp;gt;_x000d__x000a_    &amp;lt;/DecisionDS&amp;gt;_x000d__x000a_  &amp;lt;/diffgr:diffgram&amp;gt;_x000d__x000a_&amp;lt;/DecisionDS&amp;gt;"/>
    <w:docVar w:name="DecisionID" w:val="155666143"/>
    <w:docVar w:name="WordClientAssemblyName" w:val="NGCS.Decision.ClientWordBL"/>
    <w:docVar w:name="WordClientClassName" w:val="NGCS.Decision.ClientWordBL.DecisionClient"/>
  </w:docVars>
  <w:rsids>
    <w:rsidRoot w:val="00694556"/>
    <w:rsid w:val="00000062"/>
    <w:rsid w:val="000015DE"/>
    <w:rsid w:val="0000226B"/>
    <w:rsid w:val="00005C8B"/>
    <w:rsid w:val="00007DE0"/>
    <w:rsid w:val="000346CC"/>
    <w:rsid w:val="000529D2"/>
    <w:rsid w:val="000531AE"/>
    <w:rsid w:val="000564AB"/>
    <w:rsid w:val="00064FBD"/>
    <w:rsid w:val="000714C7"/>
    <w:rsid w:val="00077CA9"/>
    <w:rsid w:val="00082AB2"/>
    <w:rsid w:val="000906FE"/>
    <w:rsid w:val="00096AF7"/>
    <w:rsid w:val="000B344B"/>
    <w:rsid w:val="000C3B0F"/>
    <w:rsid w:val="000C3B60"/>
    <w:rsid w:val="000D6CDA"/>
    <w:rsid w:val="000E0DD2"/>
    <w:rsid w:val="000E3AF1"/>
    <w:rsid w:val="000F0BC8"/>
    <w:rsid w:val="000F0DD6"/>
    <w:rsid w:val="000F6110"/>
    <w:rsid w:val="00107E6D"/>
    <w:rsid w:val="0011194C"/>
    <w:rsid w:val="0011424C"/>
    <w:rsid w:val="001173C6"/>
    <w:rsid w:val="001367BC"/>
    <w:rsid w:val="00144D2A"/>
    <w:rsid w:val="0014653E"/>
    <w:rsid w:val="00150967"/>
    <w:rsid w:val="00180519"/>
    <w:rsid w:val="00191C82"/>
    <w:rsid w:val="001C4003"/>
    <w:rsid w:val="001D4DBF"/>
    <w:rsid w:val="001E75CA"/>
    <w:rsid w:val="00206E1B"/>
    <w:rsid w:val="00224E3C"/>
    <w:rsid w:val="002265FF"/>
    <w:rsid w:val="00235B97"/>
    <w:rsid w:val="00271B56"/>
    <w:rsid w:val="002C344E"/>
    <w:rsid w:val="002E75E9"/>
    <w:rsid w:val="002F0B1E"/>
    <w:rsid w:val="003053B4"/>
    <w:rsid w:val="00307A6A"/>
    <w:rsid w:val="00307C40"/>
    <w:rsid w:val="00320433"/>
    <w:rsid w:val="003230C7"/>
    <w:rsid w:val="00327E50"/>
    <w:rsid w:val="0033597A"/>
    <w:rsid w:val="00343D89"/>
    <w:rsid w:val="00353670"/>
    <w:rsid w:val="00362612"/>
    <w:rsid w:val="0036743F"/>
    <w:rsid w:val="003715DD"/>
    <w:rsid w:val="003823E0"/>
    <w:rsid w:val="003A4521"/>
    <w:rsid w:val="003B3E8D"/>
    <w:rsid w:val="003D1C8C"/>
    <w:rsid w:val="0040096C"/>
    <w:rsid w:val="00404B71"/>
    <w:rsid w:val="00414F1F"/>
    <w:rsid w:val="0043125D"/>
    <w:rsid w:val="00433189"/>
    <w:rsid w:val="0043502B"/>
    <w:rsid w:val="004443AC"/>
    <w:rsid w:val="00444B02"/>
    <w:rsid w:val="00451E28"/>
    <w:rsid w:val="00452DF6"/>
    <w:rsid w:val="004549C7"/>
    <w:rsid w:val="00462C62"/>
    <w:rsid w:val="00465D36"/>
    <w:rsid w:val="00493744"/>
    <w:rsid w:val="004A5831"/>
    <w:rsid w:val="004C17EE"/>
    <w:rsid w:val="004C1B0A"/>
    <w:rsid w:val="004C4BDF"/>
    <w:rsid w:val="004D1187"/>
    <w:rsid w:val="004D3AA0"/>
    <w:rsid w:val="004D49A1"/>
    <w:rsid w:val="004E1987"/>
    <w:rsid w:val="004E2E15"/>
    <w:rsid w:val="004E6E3C"/>
    <w:rsid w:val="00511B90"/>
    <w:rsid w:val="00520898"/>
    <w:rsid w:val="00523621"/>
    <w:rsid w:val="00524986"/>
    <w:rsid w:val="005268F6"/>
    <w:rsid w:val="00534284"/>
    <w:rsid w:val="00547DB7"/>
    <w:rsid w:val="00597246"/>
    <w:rsid w:val="005C0627"/>
    <w:rsid w:val="005D3261"/>
    <w:rsid w:val="005F4F09"/>
    <w:rsid w:val="0061431B"/>
    <w:rsid w:val="00622BAA"/>
    <w:rsid w:val="006306CF"/>
    <w:rsid w:val="006318D8"/>
    <w:rsid w:val="00631F40"/>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0261E"/>
    <w:rsid w:val="00814468"/>
    <w:rsid w:val="008176A1"/>
    <w:rsid w:val="00820005"/>
    <w:rsid w:val="00820DDD"/>
    <w:rsid w:val="008216D6"/>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44FF3"/>
    <w:rsid w:val="00A50B37"/>
    <w:rsid w:val="00A81988"/>
    <w:rsid w:val="00A85E34"/>
    <w:rsid w:val="00A87DF6"/>
    <w:rsid w:val="00A9144F"/>
    <w:rsid w:val="00A94B64"/>
    <w:rsid w:val="00AA3229"/>
    <w:rsid w:val="00AA7596"/>
    <w:rsid w:val="00AB5901"/>
    <w:rsid w:val="00AB5E52"/>
    <w:rsid w:val="00AC3B02"/>
    <w:rsid w:val="00AC3B7B"/>
    <w:rsid w:val="00AC5209"/>
    <w:rsid w:val="00AC5857"/>
    <w:rsid w:val="00AD069A"/>
    <w:rsid w:val="00AE0E34"/>
    <w:rsid w:val="00AE729E"/>
    <w:rsid w:val="00AE7752"/>
    <w:rsid w:val="00AF1A8E"/>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037F6"/>
    <w:rsid w:val="00C22D93"/>
    <w:rsid w:val="00C23458"/>
    <w:rsid w:val="00C31120"/>
    <w:rsid w:val="00C34482"/>
    <w:rsid w:val="00C43648"/>
    <w:rsid w:val="00C50A9F"/>
    <w:rsid w:val="00C642FA"/>
    <w:rsid w:val="00C911C3"/>
    <w:rsid w:val="00CB60B5"/>
    <w:rsid w:val="00CC7622"/>
    <w:rsid w:val="00CD516B"/>
    <w:rsid w:val="00CD608F"/>
    <w:rsid w:val="00CE0084"/>
    <w:rsid w:val="00CF6BB7"/>
    <w:rsid w:val="00D04AA4"/>
    <w:rsid w:val="00D106EA"/>
    <w:rsid w:val="00D16597"/>
    <w:rsid w:val="00D27982"/>
    <w:rsid w:val="00D33B86"/>
    <w:rsid w:val="00D44968"/>
    <w:rsid w:val="00D53924"/>
    <w:rsid w:val="00D55D0C"/>
    <w:rsid w:val="00D56673"/>
    <w:rsid w:val="00D96D8C"/>
    <w:rsid w:val="00DA5246"/>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34BB"/>
    <w:rsid w:val="00FA5FDA"/>
    <w:rsid w:val="00FA7FD0"/>
    <w:rsid w:val="00FB6AB3"/>
    <w:rsid w:val="00FB729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D6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6386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779722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E18AB"/>
    <w:rsid w:val="001A0763"/>
    <w:rsid w:val="002D02C4"/>
    <w:rsid w:val="002D09CE"/>
    <w:rsid w:val="00345C9D"/>
    <w:rsid w:val="003D45AC"/>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71615"/>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יוסף אליהו יקיר</FullName>
        <FirstName>יוסף אליהו</FirstName>
        <LastName>יקיר</LastName>
        <PartyPropertyName/>
        <AuthenticationTypeAndNumber>ת"ז 021558408</AuthenticationTypeAndNumber>
        <RepresentatedOrRepresentativesNames>שי קדמי</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279001098</CasePartyID>
        <PartyTypeID>1</PartyTypeID>
        <ActivityStatusID>1</ActivityStatusID>
        <PartyAliasID>3</PartyAliasID>
        <PartyAliasName>מבקש</PartyAliasName>
        <OrdinalNumber>1</OrdinalNumber>
        <LegalEntityID>69619500</LegalEntityID>
        <CaseLegalEntityID>132760469</CaseLegalEntityID>
        <AuthenticationTypeID>1</AuthenticationTypeID>
        <AuthenticationTypeName>ת"ז</AuthenticationTypeName>
        <LegalEntityNumber>021558408</LegalEntityNumber>
        <IsMainPartyType>true</IsMainPartyType>
        <CaseDisplayIdentifier>46850-10-24</CaseDisplayIdentifier>
        <CaseTypeID>10074</CaseTypeID>
        <CaseTypeName>רשות ערעור משפחה (רמ"ש)</CaseTypeName>
        <CaseName>יקיר נ' יקיר</CaseName>
        <FullAddress>ארלוזורוב 1  א' חדרה </FullAddress>
        <MotionID>0</MotionID>
        <CasePleaID>0</CasePleaID>
        <FatherName>פנחס</FatherName>
        <LinkedCaseID>0</LinkedCaseID>
        <PartyID>1</PartyID>
        <CasePartyCategoryID>2</CasePartyCategoryID>
        <LegalEntityAddressID>91004426</LegalEntityAddressID>
        <GrandfatherName/>
        <DrivingLicenseNumber>8423802</DrivingLicenseNumber>
        <PleaTypeID>5</PleaTypeID>
        <GroupPartyAlias>מבקשים</GroupPartyAlias>
        <IsConverted>false</IsConverted>
        <LegalEntityRegisteredNameID>8994832</LegalEntityRegisteredNameID>
        <LegalEntityNameID>98277152</LegalEntityNameID>
        <RepresentatedNamesOfAssistant/>
        <LegalEntityTypeID>1</LegalEntityTypeID>
        <IsVerdictExists>false</IsVerdictExists>
        <IsAsirAzir>false</IsAsirAzir>
        <MainAndSecSpec/>
        <IsPublicationProhibited>false</IsPublicationProhibited>
        <PublicationProhibitedFullName>יוסף אליהו יקיר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קדמי</FullName>
        <FirstName>שי</FirstName>
        <LastName>קדמי</LastName>
        <PartyPropertyName/>
        <AuthenticationTypeAndNumber>מ.ר. 55882</AuthenticationTypeAndNumber>
        <RepresentatedOrRepresentativesNames>יוסף אליהו יקיר</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279001100</CasePartyID>
        <PartyTypeID>2</PartyTypeID>
        <ActivityStatusID>1</ActivityStatusID>
        <PartyAliasID>22</PartyAliasID>
        <PartyAliasName>בא כוח מבקשים</PartyAliasName>
        <OrdinalNumber>1</OrdinalNumber>
        <LegalEntityID>69841739</LegalEntityID>
        <CaseLegalEntityID>132760471</CaseLegalEntityID>
        <AuthenticationTypeID>4</AuthenticationTypeID>
        <AuthenticationTypeName>מ.ר.</AuthenticationTypeName>
        <LegalEntityNumber>55882</LegalEntityNumber>
        <IsMainPartyType>true</IsMainPartyType>
        <CaseDisplayIdentifier>46850-10-24</CaseDisplayIdentifier>
        <CaseTypeID>10074</CaseTypeID>
        <CaseTypeName>רשות ערעור משפחה (רמ"ש)</CaseTypeName>
        <CaseName>יקיר נ' יקיר</CaseName>
        <FullAddress>קיבוץ מעברות מעברות </FullAddress>
        <MotionID>0</MotionID>
        <CasePleaID>0</CasePleaID>
        <LinkedCaseID>0</LinkedCaseID>
        <PartyID>1</PartyID>
        <CasePartyCategoryID>2</CasePartyCategoryID>
        <LegalEntityAddressID>82559382</LegalEntityAddressID>
        <PleaTypeID>5</PleaTypeID>
        <LawyerOfficeName>שי קדמי</LawyerOfficeName>
        <LawyerOfficeID>71377920</LawyerOfficeID>
        <GroupPartyAlias/>
        <IsConverted>false</IsConverted>
        <LegalEntityNameID>72028186</LegalEntityNameID>
        <RepresentatedNamesOfAssistant/>
        <LegalEntityTypeID>4</LegalEntityTypeID>
        <IsVerdictExists>false</IsVerdictExists>
        <IsAsirAzir>false</IsAsirAzir>
        <MainAndSecSpec/>
        <IsPublicationProhibited>false</IsPublicationProhibited>
        <PublicationProhibitedFullName>שי קדמי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מאיר אזוט</FullName>
        <FirstName>מאיר</FirstName>
        <LastName>אזוט</LastName>
        <PartyPropertyName/>
        <AuthenticationTypeAndNumber>מ.ר. 57661</AuthenticationTypeAndNumber>
        <RepresentatedOrRepresentativesNames>פריאל פרלה יקיר</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279001101</CasePartyID>
        <PartyTypeID>2</PartyTypeID>
        <ActivityStatusID>1</ActivityStatusID>
        <PartyAliasID>23</PartyAliasID>
        <PartyAliasName>בא כוח משיבים</PartyAliasName>
        <OrdinalNumber>1</OrdinalNumber>
        <LegalEntityID>70079860</LegalEntityID>
        <CaseLegalEntityID>132760472</CaseLegalEntityID>
        <AuthenticationTypeID>4</AuthenticationTypeID>
        <AuthenticationTypeName>מ.ר.</AuthenticationTypeName>
        <LegalEntityNumber>57661</LegalEntityNumber>
        <IsMainPartyType>true</IsMainPartyType>
        <CaseDisplayIdentifier>46850-10-24</CaseDisplayIdentifier>
        <CaseTypeID>10074</CaseTypeID>
        <CaseTypeName>רשות ערעור משפחה (רמ"ש)</CaseTypeName>
        <CaseName>יקיר נ' יקיר</CaseName>
        <FullAddress>השקמה 5/1 זכרון יעקב </FullAddress>
        <MotionID>0</MotionID>
        <CasePleaID>0</CasePleaID>
        <LinkedCaseID>0</LinkedCaseID>
        <PartyID>2</PartyID>
        <CasePartyCategoryID>2</CasePartyCategoryID>
        <LegalEntityAddressID>90897846</LegalEntityAddressID>
        <PleaTypeID>5</PleaTypeID>
        <LawyerOfficeName>משרד עו"ד מאיר אזוט</LawyerOfficeName>
        <LawyerOfficeID>70079861</LawyerOfficeID>
        <GroupPartyAlias/>
        <IsConverted>false</IsConverted>
        <LegalEntityNameID>72436586</LegalEntityNameID>
        <RepresentatedNamesOfAssistant/>
        <LegalEntityTypeID>4</LegalEntityTypeID>
        <IsVerdictExists>false</IsVerdictExists>
        <IsAsirAzir>false</IsAsirAzir>
        <MainAndSecSpec/>
        <IsPublicationProhibited>false</IsPublicationProhibited>
        <PublicationProhibitedFullName>מאיר אזוט</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פריאל פרלה יקיר</FullName>
        <FirstName>פריאל פרלה</FirstName>
        <LastName>יקיר</LastName>
        <PartyPropertyName/>
        <AuthenticationTypeAndNumber>ת"ז 206810392</AuthenticationTypeAndNumber>
        <RepresentatedOrRepresentativesNames>מאיר אזוט</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279001099</CasePartyID>
        <PartyTypeID>1</PartyTypeID>
        <ActivityStatusID>1</ActivityStatusID>
        <PartyAliasID>4</PartyAliasID>
        <PartyAliasName>משיב</PartyAliasName>
        <OrdinalNumber>1</OrdinalNumber>
        <LegalEntityID>82948019</LegalEntityID>
        <CaseLegalEntityID>132760470</CaseLegalEntityID>
        <AuthenticationTypeID>1</AuthenticationTypeID>
        <AuthenticationTypeName>ת"ז</AuthenticationTypeName>
        <LegalEntityNumber>206810392</LegalEntityNumber>
        <IsMainPartyType>true</IsMainPartyType>
        <CaseDisplayIdentifier>46850-10-24</CaseDisplayIdentifier>
        <CaseTypeID>10074</CaseTypeID>
        <CaseTypeName>רשות ערעור משפחה (רמ"ש)</CaseTypeName>
        <CaseName>יקיר נ' יקיר</CaseName>
        <FullAddress>ארלוזורוב 1 א' חדרה </FullAddress>
        <MotionID>0</MotionID>
        <CasePleaID>0</CasePleaID>
        <FatherName>יוסף חיים</FatherName>
        <LinkedCaseID>0</LinkedCaseID>
        <PartyID>2</PartyID>
        <CasePartyCategoryID>2</CasePartyCategoryID>
        <LegalEntityAddressID>91004427</LegalEntityAddressID>
        <PleaTypeID>5</PleaTypeID>
        <GroupPartyAlias>משיבים</GroupPartyAlias>
        <IsConverted>false</IsConverted>
        <LegalEntityRegisteredNameID>10881426</LegalEntityRegisteredNameID>
        <LegalEntityNameID>98277153</LegalEntityNameID>
        <RepresentatedNamesOfAssistant/>
        <LegalEntityTypeID>1</LegalEntityTypeID>
        <IsVerdictExists>false</IsVerdictExists>
        <IsAsirAzir>false</IsAsirAzir>
        <MainAndSecSpec/>
        <IsPublicationProhibited>false</IsPublicationProhibited>
        <PublicationProhibitedFullName>פריאל פרלה יקיר</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2024-10-29T09:39:12.9976336+02:00</DecisionSignatureDate>
    <OpenCaseDate>2024-10-27T12:40:00+02:00</OpenCaseDate>
    <CaseFeeSum>0.000</CaseFeeSum>
    <DecisionTypeID>1</DecisionTypeID>
    <DecisionSignatureUserName>חננאל שרעבי</DecisionSignatureUserName>
    <DecisionSignatureDateHebrew>2024-10-29T09:39:12.9976336+02:00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יקיר נ' יקיר</CaseName>
    <DecisionNumberInCase>1</DecisionNumberInCase>
  </dt_Decision>
  <dt_DecisionCase>
    <DecisionID>0</DecisionID>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יוסף אליהו יקיר</FullName>
        <FirstName>יוסף אליהו</FirstName>
        <LastName>יקיר</LastName>
        <PartyPropertyName/>
        <AuthenticationTypeAndNumber>ת"ז 021558408</AuthenticationTypeAndNumber>
        <RepresentatedOrRepresentativesNames>שי קדמי</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279001098</CasePartyID>
        <PartyTypeID>1</PartyTypeID>
        <ActivityStatusID>1</ActivityStatusID>
        <PartyAliasID>3</PartyAliasID>
        <PartyAliasName>מבקש</PartyAliasName>
        <OrdinalNumber>1</OrdinalNumber>
        <LegalEntityID>69619500</LegalEntityID>
        <CaseLegalEntityID>132760469</CaseLegalEntityID>
        <AuthenticationTypeID>1</AuthenticationTypeID>
        <AuthenticationTypeName>ת"ז</AuthenticationTypeName>
        <LegalEntityNumber>021558408</LegalEntityNumber>
        <IsMainPartyType>true</IsMainPartyType>
        <CaseDisplayIdentifier>46850-10-24</CaseDisplayIdentifier>
        <CaseTypeID>10074</CaseTypeID>
        <CaseTypeName>רשות ערעור משפחה (רמ"ש)</CaseTypeName>
        <CaseName>יקיר נ' יקיר</CaseName>
        <FullAddress>ארלוזורוב 1  א' חדרה </FullAddress>
        <MotionID>0</MotionID>
        <CasePleaID>0</CasePleaID>
        <FatherName>פנחס</FatherName>
        <LinkedCaseID>0</LinkedCaseID>
        <PartyID>1</PartyID>
        <CasePartyCategoryID>2</CasePartyCategoryID>
        <LegalEntityAddressID>91004426</LegalEntityAddressID>
        <GrandfatherName/>
        <DrivingLicenseNumber>8423802</DrivingLicenseNumber>
        <PleaTypeID>5</PleaTypeID>
        <GroupPartyAlias>מבקשים</GroupPartyAlias>
        <IsConverted>false</IsConverted>
        <LegalEntityRegisteredNameID>8994832</LegalEntityRegisteredNameID>
        <LegalEntityNameID>98277152</LegalEntityNameID>
        <RepresentatedNamesOfAssistant/>
        <LegalEntityTypeID>1</LegalEntityTypeID>
        <IsVerdictExists>false</IsVerdictExists>
        <IsAsirAzir>false</IsAsirAzir>
        <MainAndSecSpec/>
        <IsPublicationProhibited>false</IsPublicationProhibited>
        <PublicationProhibitedFullName>יוסף אליהו יקיר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קדמי</FullName>
        <FirstName>שי</FirstName>
        <LastName>קדמי</LastName>
        <PartyPropertyName/>
        <AuthenticationTypeAndNumber>מ.ר. 55882</AuthenticationTypeAndNumber>
        <RepresentatedOrRepresentativesNames>יוסף אליהו יקיר</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279001100</CasePartyID>
        <PartyTypeID>2</PartyTypeID>
        <ActivityStatusID>1</ActivityStatusID>
        <PartyAliasID>22</PartyAliasID>
        <PartyAliasName>בא כוח מבקשים</PartyAliasName>
        <OrdinalNumber>1</OrdinalNumber>
        <LegalEntityID>69841739</LegalEntityID>
        <CaseLegalEntityID>132760471</CaseLegalEntityID>
        <AuthenticationTypeID>4</AuthenticationTypeID>
        <AuthenticationTypeName>מ.ר.</AuthenticationTypeName>
        <LegalEntityNumber>55882</LegalEntityNumber>
        <IsMainPartyType>true</IsMainPartyType>
        <CaseDisplayIdentifier>46850-10-24</CaseDisplayIdentifier>
        <CaseTypeID>10074</CaseTypeID>
        <CaseTypeName>רשות ערעור משפחה (רמ"ש)</CaseTypeName>
        <CaseName>יקיר נ' יקיר</CaseName>
        <FullAddress>קיבוץ מעברות מעברות </FullAddress>
        <MotionID>0</MotionID>
        <CasePleaID>0</CasePleaID>
        <LinkedCaseID>0</LinkedCaseID>
        <PartyID>1</PartyID>
        <CasePartyCategoryID>2</CasePartyCategoryID>
        <LegalEntityAddressID>82559382</LegalEntityAddressID>
        <PleaTypeID>5</PleaTypeID>
        <LawyerOfficeName>שי קדמי</LawyerOfficeName>
        <LawyerOfficeID>71377920</LawyerOfficeID>
        <GroupPartyAlias/>
        <IsConverted>false</IsConverted>
        <LegalEntityNameID>72028186</LegalEntityNameID>
        <RepresentatedNamesOfAssistant/>
        <LegalEntityTypeID>4</LegalEntityTypeID>
        <IsVerdictExists>false</IsVerdictExists>
        <IsAsirAzir>false</IsAsirAzir>
        <MainAndSecSpec/>
        <IsPublicationProhibited>false</IsPublicationProhibited>
        <PublicationProhibitedFullName>שי קדמי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מאיר אזוט</FullName>
        <FirstName>מאיר</FirstName>
        <LastName>אזוט</LastName>
        <PartyPropertyName/>
        <AuthenticationTypeAndNumber>מ.ר. 57661</AuthenticationTypeAndNumber>
        <RepresentatedOrRepresentativesNames>פריאל פרלה יקיר</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279001101</CasePartyID>
        <PartyTypeID>2</PartyTypeID>
        <ActivityStatusID>1</ActivityStatusID>
        <PartyAliasID>23</PartyAliasID>
        <PartyAliasName>בא כוח משיבים</PartyAliasName>
        <OrdinalNumber>1</OrdinalNumber>
        <LegalEntityID>70079860</LegalEntityID>
        <CaseLegalEntityID>132760472</CaseLegalEntityID>
        <AuthenticationTypeID>4</AuthenticationTypeID>
        <AuthenticationTypeName>מ.ר.</AuthenticationTypeName>
        <LegalEntityNumber>57661</LegalEntityNumber>
        <IsMainPartyType>true</IsMainPartyType>
        <CaseDisplayIdentifier>46850-10-24</CaseDisplayIdentifier>
        <CaseTypeID>10074</CaseTypeID>
        <CaseTypeName>רשות ערעור משפחה (רמ"ש)</CaseTypeName>
        <CaseName>יקיר נ' יקיר</CaseName>
        <FullAddress>השקמה 5/1 זכרון יעקב </FullAddress>
        <MotionID>0</MotionID>
        <CasePleaID>0</CasePleaID>
        <LinkedCaseID>0</LinkedCaseID>
        <PartyID>2</PartyID>
        <CasePartyCategoryID>2</CasePartyCategoryID>
        <LegalEntityAddressID>90897846</LegalEntityAddressID>
        <PleaTypeID>5</PleaTypeID>
        <LawyerOfficeName>משרד עו"ד מאיר אזוט</LawyerOfficeName>
        <LawyerOfficeID>70079861</LawyerOfficeID>
        <GroupPartyAlias/>
        <IsConverted>false</IsConverted>
        <LegalEntityNameID>72436586</LegalEntityNameID>
        <RepresentatedNamesOfAssistant/>
        <LegalEntityTypeID>4</LegalEntityTypeID>
        <IsVerdictExists>false</IsVerdictExists>
        <IsAsirAzir>false</IsAsirAzir>
        <MainAndSecSpec/>
        <IsPublicationProhibited>false</IsPublicationProhibited>
        <PublicationProhibitedFullName>מאיר אזוט</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פריאל פרלה יקיר</FullName>
        <FirstName>פריאל פרלה</FirstName>
        <LastName>יקיר</LastName>
        <PartyPropertyName/>
        <AuthenticationTypeAndNumber>ת"ז 206810392</AuthenticationTypeAndNumber>
        <RepresentatedOrRepresentativesNames>מאיר אזוט</RepresentatedOrRepresentativesNames>
        <RepresentatedOrRepresentativesCount>1</RepresentatedOrRepresentativesCount>
        <InvitedBy/>
        <CaseID>82063377</CaseID>
        <CaseJudicialPersonPresentationDS>
          <CaseJudicalPersonActive>
            <CaseID>82063377</CaseID>
            <JudicialPersonID>056479827@GOV.IL</JudicialPersonID>
            <JudicialPersonTypeID>1</JudicialPersonTypeID>
            <JudicialTypeID>1</JudicialTypeID>
            <IsChairman>false</IsChairman>
            <TreatmentStartDate>2024-10-28T13:53:04.387+02:00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279001099</CasePartyID>
        <PartyTypeID>1</PartyTypeID>
        <ActivityStatusID>1</ActivityStatusID>
        <PartyAliasID>4</PartyAliasID>
        <PartyAliasName>משיב</PartyAliasName>
        <OrdinalNumber>1</OrdinalNumber>
        <LegalEntityID>82948019</LegalEntityID>
        <CaseLegalEntityID>132760470</CaseLegalEntityID>
        <AuthenticationTypeID>1</AuthenticationTypeID>
        <AuthenticationTypeName>ת"ז</AuthenticationTypeName>
        <LegalEntityNumber>206810392</LegalEntityNumber>
        <IsMainPartyType>true</IsMainPartyType>
        <CaseDisplayIdentifier>46850-10-24</CaseDisplayIdentifier>
        <CaseTypeID>10074</CaseTypeID>
        <CaseTypeName>רשות ערעור משפחה (רמ"ש)</CaseTypeName>
        <CaseName>יקיר נ' יקיר</CaseName>
        <FullAddress>ארלוזורוב 1 א' חדרה </FullAddress>
        <MotionID>0</MotionID>
        <CasePleaID>0</CasePleaID>
        <FatherName>יוסף חיים</FatherName>
        <LinkedCaseID>0</LinkedCaseID>
        <PartyID>2</PartyID>
        <CasePartyCategoryID>2</CasePartyCategoryID>
        <LegalEntityAddressID>91004427</LegalEntityAddressID>
        <PleaTypeID>5</PleaTypeID>
        <GroupPartyAlias>משיבים</GroupPartyAlias>
        <IsConverted>false</IsConverted>
        <LegalEntityRegisteredNameID>10881426</LegalEntityRegisteredNameID>
        <LegalEntityNameID>98277153</LegalEntityNameID>
        <RepresentatedNamesOfAssistant/>
        <LegalEntityTypeID>1</LegalEntityTypeID>
        <IsVerdictExists>false</IsVerdictExists>
        <IsAsirAzir>false</IsAsirAzir>
        <MainAndSecSpec/>
        <IsPublicationProhibited>false</IsPublicationProhibited>
        <PublicationProhibitedFullName>פריאל פרלה יקיר</PublicationProhibitedFullName>
      </CaseParties>
    </CasePartiesSelectionDS>
    <CaseName>יקיר נ' יקיר</CaseName>
    <CaseDisplayIdentifier>46850-10-24</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ארלוזורוב 1  א'</StreetName>
    <CityName>חדרה</CityName>
    <FullName>יוסף אליהו  יקיר</FullName>
    <IsPublicationProhibited>false</IsPublicationProhibited>
  </dt_LegalEntityDetails>
  <dt_LegalEntityDetails>
    <PartyID>2</PartyID>
    <PartyTypeID>1</PartyTypeID>
    <DecisionID>0</DecisionID>
    <StreetName>ארלוזורוב 1 א'</StreetName>
    <CityName>חדרה</CityName>
    <FullName>פריאל פרלה  יקיר</FullName>
    <IsPublicationProhibited>false</IsPublicationProhibited>
  </dt_LegalEntityDetails>
  <dt_LegalEntityDetails>
    <Fax>077-5558031</Fax>
    <Phone>09-8982511</Phone>
    <PartyID>1</PartyID>
    <PartyTypeID>2</PartyTypeID>
    <DecisionID>0</DecisionID>
    <StreetName>קיבוץ מעברות</StreetName>
    <ZipCode>4023000</ZipCode>
    <CityName>מעברות</CityName>
    <FullName>שי  קדמי</FullName>
    <Email>shy@kedmilaw.com</Email>
    <IsPublicationProhibited>false</IsPublicationProhibited>
  </dt_LegalEntityDetails>
  <dt_LegalEntityDetails>
    <Fax>04-8526565</Fax>
    <Phone>04-8526555</Phone>
    <PartyID>2</PartyID>
    <PartyTypeID>2</PartyTypeID>
    <DecisionID>0</DecisionID>
    <StreetName>השקמה 5/1</StreetName>
    <CityName>זכרון יעקב</CityName>
    <FullName>מאיר אזוט</FullName>
    <Email>meir@law4u.org</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76BCD-2B8B-4DF7-8870-446F3862D145}">
  <ds:schemaRefs/>
</ds:datastoreItem>
</file>

<file path=customXml/itemProps2.xml><?xml version="1.0" encoding="utf-8"?>
<ds:datastoreItem xmlns:ds="http://schemas.openxmlformats.org/officeDocument/2006/customXml" ds:itemID="{25AF5D36-43DD-48FA-A2A8-EA0FF3A03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1163</Words>
  <Characters>5815</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2024-11-07T07:14:00Z</dcterms:created>
  <dcterms:modified xsi:type="dcterms:W3CDTF">2024-11-07T07:14:00Z</dcterms:modified>
</cp:coreProperties>
</file>